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1202-О/2024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Малинина Алексея Николаевича на нарушение его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А.Н.Малинина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А.Н.Малинин оспаривает конституционность части первой статьи 31 «Подсудность нескольких связанных между собой дел», пункта 7 части первой статьи 135 «Возвращение искового заявления», абзаца первого части первой статьи 136 «Оставление искового заявления без движения», статьи 267 «Содержание заявления об установлении факта, имеющего юридическое значение», абзаца первого части первой статьи 310 «Подача заявления о совершенном нотариальном действии или об отказе в его совершении», части третьей статьи 331 «Обжалование определений суда первой инстанции», статьи 334 «Полномочия суда апелляционной инстанции при рассмотрении частной 2 жалобы, представления прокурора», частей первой и третьей статьи 3797 «Основания для отмены или изменения судебных постановлений кассационным судом общей юрисдикции», части второй статьи 3901 «Определение кассационного суда общей юрисдикции» и пункта 5 статьи 3909 «Определение судьи об отказе в передаче кассационных жалобы, представления для рассмотрения в судебном заседании суда кассационной инстанции» ГПК Российской Федерации. Как следует из представленных материалов, определением судьи суда общей юрисдикции заявление А.Н.Малинина, действовавшего в своих интересах и в интересах своих несовершеннолетних детей, к ряду нотариусов об оспаривании нотариального действия было оставлено без движения в связи с тем, что им не представлен подлинник документа, подтверждающего уплату государственной пошлины, а также не указано, каким конкретно нотариусом совершено оспариваемое нотариальное действие и какое именно нотариальное действие оспаривается. Поскольку недостатки, связанные с содержанием заявления, устранены не были, определением этого же судьи, оставленным без изменения судами вышестоящих инстанций, заявление было возвращено А.Н.Малинину.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А.Н.Малинина, оспариваемые законоположения не соответствуют статьям 2, 4 (часть 2), 17 (части 1 и 3), 18, 19 (части 1 и 2), 45 (часть 1) и 46 (часть 1), 55 (часть 3) и 123 (часть 3) Конституции Российской Федерации, поскольку служат основанием для оставления заявления о признании незаконным нотариального действия, поданного к нескольким нотариусам, без движения, а в последствии его возвращения в случае, когда заявителю не известен конкретный нотариус, совершивший спорное нотариальное действие, исключают возможность обжалования определения суда об оставлении заявления без движения, не обязывают указывать мотивы, по которым отклоняются доводы кассационной жалобы, и мотивы отказа в 3 передаче кассационной жалобы для рассмотрения в судебном заседании суда кассационной инстанции.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Малинина Алексея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