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3451-О/2025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Писклова Геннадия Ивановича на нарушение его конституционных прав статьями 398, 456, пунктом 3 статьи 487 Гражданского кодекса Российской Федерации, подпунктом 31 пункта 1 статьи 2011 и подпунктом 4 пункта 1 статьи 2019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Г.И.Писклова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с которым согласились суды вышестоящих инстанций, отказано в удовлетворении исковых требований гражданина Г.И.Писклова к акционерному обществу «Мосотделстрой № 1», которому в рамках дела о банкротстве акционерного общества «Московский комбинат хлебопродуктов» были переданы права и обязанности застройщика, о признании права собственности на нежилое помещение, возмещении судебных расходов. При этом суд исходил из того, что с момента признания АО «Московский комбинат хлебопродуктов» банкротом 2 и открытия конкурсного производства требования Г.И.Писклова о передаче ему нежилого помещения трансформируются в денежные обязательства и подлежат включению в реестр требований кредиторов. Г.И.Писклов оспаривает конституционность подпункта 31 пункта 1 статьи 2011 «Общие положения», подпункта 4 пункта 1 статьи 2019 «Очередность удовлетворения требований кредиторов в деле о банкротстве застройщика» Федерального закона от 26 октября 2002 года № 127-ФЗ «О несостоятельности (банкротстве)» во взаимосвязи со статьями 398 «Последствия неисполнения обязательства передать индивидуально- определенную вещь», 456 «Обязанности продавца по передаче товара» и пунктом 3 статьи 487 «Предварительная оплата товара» ГК Российской Федерации. По мнению заявителя, данные законоположения противоречат статьям 8 (часть 2), 17 (часть 1), 19 (части 1 и 2), 35 (части 1–3) и 46 (часть 1) Конституции Российской Федерации в той мере, в какой в результате их системного применения к отношениям, связанным с банкротством застройщика, исключается возможность передачи участнику долевого строительства – физическому лицу, ранее признанному судом собственником доли в объекте незавершенного строительства, индивидуально-определенного нежилого помещения площадью более семи квадратных метров, указанное лицо принуждается исключительно к предъявлению денежного требования.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Подпункт 31 пункта 1 статьи 2011 Федерального закона «О несостоятельности (банкротстве)» определяет требование о передаче машино-места и нежилого помещения как требование участника строительства – физического лица о передаче ему на основании возмездного договора в собственность машино-места и (или) нежилого помещения в многоквартирном доме, которые на момент привлечения 3 денежных средств и (или) иного имущества участника строительства не введены в эксплуатацию; при этом для целей параграфа 7 «Банкротство застройщиков» главы IX данного Федерального закона под нежилым помещением понимается нежилое помещение, площадь которого не превышает семи квадратных метров. Согласно подпункту 4 пункта 1 статьи 2019 того же Федерального закона в ходе конкурсного производства, применяемого в деле о банкротстве застройщика, в четвертую очередь производятся расчеты с другими (не указанными в подпунктах 1–3) кредиторами. Данные положения, рассматриваемые во взаимосвязи с иными нормами названного параграфа «Банкротство застройщиков», в том числе регламентирующими включение требований в реестр требований участников строительства, направлены на предоставление дополнительных гарантий лицам, имеющим требование о передаче жилого помещения, а следовательно, на реализацию их прав, гарантированных статьей 40 Конституции Российской Федерации. Они не препятствуют реализации иным лицам своих прав как конкурсных кредиторов, в частности путем предъявления денежных требований к должнику, а потому не могут расцениваться в качестве нарушающих конституционные права заявителя. Как указали суды в деле с участием Г.И.Писклова, АО «Мосотделстрой № 1» не является правопреемником АО «Московский комбинат хлебопродуктов», к которому после возбуждения дела о его банкротстве был удовлетворен иск Г.И.Писклова о признании права собственности на долю в объекте незавершенного строительства, сам объект незавершенного строительства перестал существовать, а положения статей 398, 456 и пункта 3 статьи 487 ГК Российской Федерации к реестровым требованиям после открытия в отношении должника конкурсного производства в силу специальных положений законодательства о банкротстве неприменимы. Установление же и оценка фактических обстоятельств конкретного дела, а также проверка правильности выбора судами оспариваемых положений с учетом данных обстоятельств к компетенции 4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Писклова Геннадия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