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положениями статьи 22 Трудового кодекса Российской Федерации, а также частью третьей статьи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следующих положений статьи 22 Трудового кодекса Российской Федерации: части первой, согласно которой работодатель имеет право вести коллективные переговоры и заключать коллективные договоры (абзац третий); принимать локальные нормативные акты (абзац седьмой);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 (абзац одиннадцатый); 2 части второй, в соответствии с которой работодатель обязан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 (абзац второй); вести коллективные переговоры, а также заключать коллективный договор в порядке, установленном данным Кодексом (абзац восьмой);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 (абзац девятый); создавать условия, обеспечивающие участие работников в управлении организацией в предусмотренных данным Кодексом, иными федеральными законами и коллективным договором формах (абзац тринадцатый). Заявитель также просит признать не соответствующей Конституции Российской Федерации часть третью статьи 196 ГПК Российской Федерации, закрепляющую, что суд принимает решение по заявленным истцом требованиям; однако суд может выйти за пределы заявленных требований в случаях, предусмотренных федеральным законом. По мнению И.А.Сысоева, оспариваемые законоположения противоречат статьям 2, 15, 17–19, 39, 45, 46, 55 и 751 Конституции Российской Федерации, поскольку не предусматривают обязанности работодателя по заключению коллективного договора с указанием социальных гарантий работников, в том числе касающихся выплаты при увольнении в связи с выходом на пенсию, позволяют работодателю не устанавливать такие выплаты в локальном нормативном акте, а суду – не исследовать фактические обстоятельства дела в их связи с заявленными в иске требованиями.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3 Федерации», судебными постановлениями, приложенными к жалобе, не подтверждается применение абзаца одиннадцатого части первой, абзацев восьмого, девятого и тринадцатого части второй статьи 22 Трудового кодекса Российской Федерации в конкретном деле заявителя. При этом упоминание данной статьи в целом судом первой инстанции не свидетельствует о применении всех ее положений, поскольку, как неоднократно указывал Абзац третий части первой статьи 22 Трудового кодекса Российской Федерации во взаимосвязи с его абзацем одиннадцатым части первой статьи 21, предоставляющим работнику право на ведение коллективных переговоров и заключение коллективных договоров и соглашений через своих представителей, согласуется с задачей создания необходимых условий для достижения оптимального согласования интересов сторон трудовых отношений (часть вторая статьи 1 Трудового кодекса Российской Федерации) и не может расцениваться как нарушающий права работников. Положение Трудового кодекса Российской Федерации, закрепляющее право работодателя принимать локальные нормативные акты (абзац седьмой части первой статьи 22), направлено на обеспечение эффективного управления трудовой деятельностью, не предполагает произвольного определения содержания таких актов и с учетом требований части четвертой статьи 8 данного Кодекса не может расцениваться как нарушающее права работников. 4 Абзац второй части второй статьи 22 Трудового кодекса Российской Федерации направлен на реализацию принципа законности и на обеспечение исполнения работодателем принятых в том числе договорных обязательств, согласуется с основными принципами правового регулирования трудовых отношений и иных непосредственно связанных с ними отношений и во взаимосвязи с положениями статьи 419 этого же Кодекса, устанавливающими виды ответственности за нарушение трудового законодательства и иных актов, содержащих нормы трудового права, не может расцениваться как нарушающий права работников. Как следует из представленных материалов, нарушение своих прав оспариваемыми нормами Трудового кодекса Российской Федерации заявитель связывает с отсутствием законодательного закрепления безусловной обязанности работодателя заключить коллективный договор. Между тем непосредственно из Конституции Российской Федерации необходимость установления такой обязанности работодателя не вытекает. Разрешение этого вопроса относится к компетенции законодателя и не входит в полномочия Конституционного Суда Российской Федерации. Часть третья статьи 196 ГПК Российской Федерации обязывает суд принять решение по заявленным истцом требованиям и допускает возможность выйти за пределы заявленных требований только в случаях, предусмотренных федеральным законом. Данная норма, действующая во взаимосвязи с другими предписаниями этого же Кодекса, в том числе закрепленными в его статьях 2, 195 и части четвертой статьи 198, не предполагает возможности суда уклониться от исследования фактических обстоятельств дела и направлена на обеспечение принятия судом законного и обоснованного решения, а потому, будучи процессуальной гарантией реализации права на судебную защиту, не может расцениваться как нарушающая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