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норм Гражданского процессуального кодекса Российской Федерации, Трудового кодекса Российской Федерации 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следующих норм: части первой статьи 39 «Изменение иска, отказ от иска, признание иска, мировое соглашение», части второй статьи 56 «Обязанность доказывания», части четвертой статьи 67 «Оценка доказательств», части четвертой статьи 151 «Соединение и разъединение нескольких исковых требований», части первой статьи 196 «Вопросы, разрешаемые при принятии решения суда», пункта 1 части четвертой статьи 198 «Содержание решения 2 суда», части третьей статьи 329 «Постановление суда апелляционной инстанции», части второй статьи 3901 «Определение кассационного суда общей юрисдикции»,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Федерации; абзацев первого – третьего статьи 234 «Обязанность работодателя возместить работнику материальный ущерб, причиненный в результате незаконного лишения его возможности трудиться», части второй (в жалобе ошибочно названа абзацем 2) статьи 394 «Вынесение решений по трудовым спорам об увольнении и о переводе на другую работу», статьи 396 «Исполнение решений о восстановлении на работе» Трудового кодекса Российской Федерации; части 1 статьи 106 «Исполнение содержащегося в исполнительном документе требования о восстановлении на работе и последствия его неисполнения» Федерального закона от 2 октября 2007 года № 229-ФЗ «Об исполнительном производстве». По мнению заявителя, оспариваемые нормы не соответствуют Конституции Российской Федерации, в частности ее статьям 19 (части 1 и 2), 46 (часть 1) и 55 (часть 3), поскольку позволяют судам отказывать работнику во взыскании среднего заработка за все время вынужденного прогула с работодателя, своевременно не исполнившего решение суда о восстановлении работника на работе, считать работника восстановленным на работе до издания приказа об отмене приказа об увольнении и фактического допуска к работе, а также указывать дату восстановления работника на работе из другого решения суда, произвольно отказывать в изменении исковых требований, в исследовании всех обстоятельств дела, в объединении нескольких однородных дел, в которых участвуют одни и те же стороны, в указании мотивов отклонения доводов апелляционной и кассационной жалоб.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судебными постановлениями не подтверждается применение судами в конкретном деле заявителя части 1 статьи 106 Федерального закона «Об исполнительном производстве». Таким образом, жалоба А.Н.Малинина в этой части не может быть признана допустимой в силу требований Федерального конституционного закона «О Конституционном Суде Российской Федерации». Федеральный законодатель, реализуя свои полномочия по регулированию трудовых отношений, установил в статье 234 Трудового кодекса Российской Федерации перечень оснований, при наличии которых у работодателя возникает обязанность возместить работнику материальный ущерб, причиненный в результате незаконного лишения его возможности трудиться. Указанная норма, в том числе ее абзацы второй и третий, предусматривая материальную ответственность работодателя только для тех случаев, когда работник был фактически лишен возможности осуществлять трудовую деятельность и в силу этого у него не возникло права на заработную плату, направлена на защиту прав и законных интересов работника, обеспечивает возмещение не полученного в связи с незаконными 4 действиями работодателя заработка, а потому не может расцениваться как нарушающая права граждан. Оспариваемые заявителем положения части второй статьи 394 и статьи 396 Трудового кодекса Российской Федерации имеют целью восстановление трудовых прав работника, которые работодатель нарушил незаконным увольнением, носят гарантийный характер и не могут расцениваться как нарушающие права работников. Доводы, приведенные А.Н.Малининым в обоснование его позиции, свидетельствуют о том, что, формально настаивая на признании оспариваемых положений Гражданского процессуального кодекса Российской Федерации и Трудового кодекса Российской Федерации не соответствующими Конституции Российской Федерации, он, по существу, предлагает Конституционному Суду Российской Федерации оценить правомерность вынесенных по его конкретному делу судебных постановлений, что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