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Шутиковой Елены Александровны на нарушение ее конституционных прав пунктом 1 части 10, частями 11 и 13 статьи 555-1 Градостроительного кодекса Российской Федерации, а также положениями нормативных правовых актов федерального органа исполнительной власти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Е.А.Шутиковой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Е.А.Шутикова оспаривает конституционность: пункта 1 части 10, а также частей 11 и 13 статьи 555-1 «Специалисты по организации инженерных изысканий, специалисты по организации архитектурно-строительного проектирования, специалисты по организации строительства» Градостроительного кодекса Российской Федерации; положений приказа Минстроя России от 6 ноября 2020 года № 672/пр «Об утверждении перечня направлений подготовки, специальностей в области строительства, получение высшего образования по которым 2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строительства»; пункта 1 Перечня документов, подтверждающих соответствие физического лица минимальным требованиям, установленным частью 10 статьи 555-1 Градостроительного кодекса Российской Федерации (приложение № 1 к приказу Минстроя России от 15 апреля 2022 года № 286/пр). Как следует из представленных материалов, уведомлением Национального объединения саморегулируемых организаций Е.А.Шутиковой было отказано во включении в национальный реестр специалистов в области строительства в связи с несоответствием требованию о наличии высшего образования по специальности или направлению подготовки в области строительства, поскольку высшее образование было получено заявительницей по специальности «Авиационные приборы и измерительно-вычислительные комплексы», не входящей в перечень специальностей в области строительства, получение высшего образования по которым необходимо для специалистов по организации строительства. Подтверждая правомерность данного уведомления и отказывая в удовлетворении требования Е.А.Шутиковой о признании его незаконным, суды, в том числе со ссылкой на соответствующие образовательные стандарты, подчеркнули, что имеющееся у заявительницы высшее образование не относится к области строительства и не может быть признано аналогичным высшему образованию по специальности «Приборостроение». По мнению заявительницы, регулирование, установленное оспариваемыми положениями, не соответствует статьям 15 (части 1–3), 18, 46 (часть 2), 55 и 115 Конституции Российской Федерации в той мере, в какой на его основании – в отсутствие законодательно закрепленного понятия «специальность в области строительства» – решается вопрос об отнесении конкретной специальности к числу специальностей в области строительства.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Шутиковой Елены Александровны, поскольку разрешение поставленного в ней вопроса Конституционному Суду Российской Федерации не подведомственно и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