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публичного акционерного общества «Вымпел-Коммуникации» о разъяснении Постановления Конституционного Суда Российской Федерации от 14 июля 2023 года № 41-П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публичного акционерного общества «Вымпел-Коммуникации»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«Вымпел-Коммуникации» (далее также – ПАО «ВымпелКом», Общество) просит разъяснить принятое в связи с его жалобой Постановление Конституционного Суда Российской Федерации от 14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этого решения и лишь по тем вопросам, которые были предметом рассмотрения в судебном заседании и нашли свое разрешение в принятом постановлении. Ходатайство о даче такого разъяснения не подлежит удовлетворению, если поставленные в нем вопросы не требуют какого-либо дополнительного истолкования решения или же предполагают необходимость формулирования новых правовых позиций, не нашедших отражения в разъясняемом постановлении. Постановлением Конституционного Суда Российской Федерации от 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публичного акционерного общества «ВымпелКом» о разъяснении Постановления Конституционного Суда Российской Федерации от 14 июля 2023 года № 41-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