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Барановой Ирины Николаевны на нарушение ее конституционных прав статьями 1, 10, 190 и 367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И.Н.Барановой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И.Н.Баранова оспаривает конституционность статей 1 «Основные начала гражданского законодательства», 10 «Пределы осуществления гражданских прав», 190 «Определение срока» и 367 «Прекращение поручительства» ГК Российской Федерации. Из представленных материалов следует, что апелляционным определением, принятым после направления дела на новое рассмотрение в суд апелляционной инстанции кассационным судом общей юрисдикции, отменено решение суда первой инстанции и удовлетворено требование банка (в лице конкурсного управляющего) о взыскании денежных средств с 2 И.Н.Барановой как с поручителя. Суд первой инстанции посчитал, среди прочего, что годичный срок предъявления требований к поручителю, исчисленный судом с момента подачи заявления банком о включении требований в реестр требований кредиторов основного должника, пропущен. Не согласившись с выводом об истечении срока поручительства, суд апелляционной инстанции, среди прочего, указал, что период, предшествующий признанию соглашения о расторжении договора поручительства недействительным, не учитывается при исчислении срока поручительства, поскольку до этого момента банк был не вправе предъявлять требование к поручителю. В передаче кассационной жалобы И.Н.Барановой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противоречат статьям 15 (часть 1), 17 (часть 3), 18, 19 (части 1 и 2), 35 (части 1 и 2), 45 (часть 1), 46 (часть 1) и 55 (часть 2)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допускают неопределенно долгое существование обязательства поручителя, срок которого не был согласован сторонами. Кроме того, И.Н.Баранова указывает, что статья 367 ГК Российской Федерации в редакции Федерального закона от 8 марта 2015 года № 42-ФЗ также противоречит статьям 15 (часть 3) и 54 (часть 1) Конституции Российской Федерации, поскольку по смыслу, придаваемому ей правоприменительной практикой в системе действующего правового регулирования, она применяется к правоотношениям, возникшим до 1 июня 2015 года (даты вступления в силу названного Федерального закона).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 ГК Российской Федерации, закрепляющая основные начала гражданского законодательства, сама по себе не может рассматриваться как нарушающая какие-либо конституционные права (определения Конституционного Суда Российской Федерации от 24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Барановой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