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 на нарушение ее конституционных прав абзацем вторым пункта 1 статьи 52 Семейного кодекса Российской Федерации и Федеральным законом «О внесении изменения в статью 52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 оспаривает конституционность Федерального закона от 4 августа 2022 года № 362-ФЗ «О внесении изменения в статью 52 Семейного кодекса Российской Федерации», которым пункт 1 статьи 52 Семейного кодекса Российской Федерации дополнен абзацев вторым, и названного абзаца, предусматривающего, что запись об отце ребенка в книге записей рождений, произведенная в соответствии с пунктом 2 статьи 51 данного Кодекса, может быть оспорена в судебном порядке также по требованию наследника лица, записанного в качестве отца ребенка; соответствующее требование может быть удовлетворено в случае нарушения положений указанного пункта, в том числе если такая запись произведена на 2 основании подложных документов либо без свободного волеизъявления лица, отцовство которого было установлено во внесудебном порядке. Из представленных материалов следует, что определением суда общей юрисдикции, оставленным без изменения определением суда апелляционной инстанции, производство по делу с участием С. прекращено в части ряда ее требований, предполагающих, как было указано в иске, признание отцовства гражданина С.П. в отношении несовершеннолетней М.П. и ее удочерение им недействительными, а также исключение М.П., наследующей по праву представления, из числа наследников матери С.П. Обосновывая требования, заявительница, среди прочего, привела доводы о том, что при установлении отцовства подписи от имени С.П. выполнены иным лицом и что мать ребенка уклонялась от проведения генетической экспертизы. Суды, сославшись на Постановление Конституционного Суда Российской Федерации от 2 марта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