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3327-О/2023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Заруцкого Александра Анастасьевича на нарушение его конституционных прав частью первой статьи 32, пунктом 1 части первой статьи 73 Уголовно-процессуального кодекса Российской Федерации, а также частью первой статьи 293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А.А.Заруцкого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отказано в передаче для рассмотрения в судебном заседании суда кассационной инстанции жалобы в защиту интересов гражданина А.А.Заруцкого о пересмотре решения судьи Канского районного суда Красноярского края, которым уголовное дело по обвинению заявителя в совершении преступления, предусмотренного частью первой статьи 293 «Халатность» УК Российской Федерации, передано по подсудности на рассмотрение Канского городского суда Красноярского края, а также решения суда апелляционной инстанции. 2 При этом доводы стороны защиты о неправильном определении территориальной подсудности – поскольку местом инкриминируемого бездействия А.А.Заруцкого как главы администрации Канского района является территория именно этого района, на которую распространяется юрисдикция Канского районного суда, – отклонены. Разъяснено, что согласно предъявленному обвинению заявитель, находясь на территории города Канска (на рабочем месте в здании администрации Канского района), не принял должных мер, входящих в его должностные полномочия, и не обеспечил решение вопросов местного значения в части организации сбора, вывоза, утилизации и переработки твердых коммунальных отходов, ликвидирования несанкционированной свалки, что в дальнейшем привело к возникновению пожара на территории Канского района и города Канска. С учетом этого сделан вывод, что уголовное дело правомерно направлено на рассмотрение Канского городского суда как суда по месту совершения инкриминируемого преступления в форме фактического бездействия должностного лица, находящегося на рабочем месте в городе Канске. В этой связи А.А.Заруцкий просит признать не соответствующими статьям 2, 15, 17 (часть 1), 18, 19 (части 1 и 2), 45 (часть 1), 46 (части 1 и 2), 47 (часть 1) и 55 (части 1 и 2) Конституции Российской Федерации часть первую статьи 32 «Территориальная подсудность уголовного дела», пункт 1 (именуемый в жалобе пунктом «а») части первой статьи 73 «Обстоятельства, подлежащие доказыванию» УПК Российской Федерации и часть первую статьи 293 УК Российской Федерации. По его утверждению, данные нормы предполагают возможность произвольного определения территориальной подсудности уголовных дел о преступлениях в форме бездействия, признавая местом совершения такого деяния не место инкриминируемого неисполнения должностным лицом органа местного самоуправления своих обязанностей, а место регистрации и фактического нахождения этого органа.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Заруцкого Александра Анастасьевича,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