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605873-П/2022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Баталина Дмитрия Сергеевича на нарушение его конституционных прав статьей 4, пунктом 1 части первой статьи 24 и частью первой статьи 40115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Г.А.Гаджиева, Л.М.Жарковой, С.М.Казанцева, С.Д.Князева, А.Н.Кокотова, Л.О.Красавчиковой, С.П.Маврина, Н.В.Мельникова, рассмотрев вопрос о возможности принятия жалобы гражданина Д.С.Баталина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 от 7 декабря 2021 года отказано в передаче для рассмотрения в судебном заседании суда кассационной инстанции жалобы гражданина Д.С.Баталина об оспаривании постановленного в его отношении приговора от 23 сентября 2020 года и последующих судебных решений. Заявитель признан виновным в незаконном приобретении и хранении без цели сбыта наркотического вещества в значительном размере, а также в незаконном сбыте наркотического вещества в значительном размере. 2 Федеральным законом от 5 апреля 2021 года № 67-ФЗ внесены изменения в статью 140 УПК Российской Федерации, уточняющие порядок возбуждения уголовных дел о преступлениях, предусмотренных статьями 2281 и 2284 УК Российской Федерации. В этой связи заявитель просит признать не соответствующими статьям 18, 19 (часть 1), 45 (часть 2), 46 (часть 1) и 54 (часть 2) Конституции Российской Федерации статью 4 «Действие уголовно-процессуального закона во времени», пункт 1 части первой статьи 24 «Основания отказа в возбуждении уголовного дела или прекращения уголовного дела» и часть первую статьи 40115 «Основания отмены или изменения судебного решения при рассмотрении уголовного дела в кассационном порядке» УПК Российской Федерации, поскольку данные нормы не обязывают суд кассационной инстанции вносить изменения в приговор или отменять его в случаях, когда на момент рассмотрения кассационной жалобы вступили в силу изменения в уголовно-процессуальном законе, улучшающие положение осужденного.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общего принципа действия закона во времени его нормы распространяются на отношения, права и обязанности, возникшие после введения его в действие. При этом статья 54 Конституции Российской Федерации содержит императивное правило о недопустимости придания обратной силы закону, устанавливающему или отягчающему ответственность (часть 1), и о применении нового закона, если после совершения правонарушения ответственность за него устранена или смягчена (часть 2). В иных случаях только законодатель вправе распространить действие закона на правоотношения, которые возникли до его введения в действие (определения Конституционного Суда Российской Федерации от 29 сентября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Баталина Дмитрия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