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«Ленинградская 3» на нарушение его конституционных прав положениями Федерального закона «Об отходах производства и потребления»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жилья «Ленинградская 3»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«Ленинградская 3» (далее также – товарищество) оспаривает конституционность статей 246 «Региональный оператор по обращению с твердыми коммунальными отходами», 247 «Договор на оказание услуг по обращению с твердыми коммунальными отходами», 248 «Виды деятельности и тарифы в области обращения с твердыми коммунальными отходами, подлежащие регулированию» и 249 «Порядок государственного регулирования тарифов в области обращения с твердыми коммунальными отходами» Федерального закона от 24 июня 1998 года № 89- ФЗ «Об отходах производства и потребления». 2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регионального оператора по обращению с твердыми коммунальными отходами о взыскании с заявителя задолженности по оплате услуги по обращению с твердыми коммунальными отходами, а также неустойки. По мнению товарищества, оспариваемые нормы не соответствуют статье 8 (часть 1) Конституции Российской Федерации, поскольку устанавливают монополию региональных операторов при осуществлении деятельности в области обращения с твердыми коммунальными отходами, в результате чего указанные субъекты получают возможность произвольно определять порядок оказания соответствующей услуги и увеличивать единые тарифы.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«Ленинградская 3»,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