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1667-О/2024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Буниной Надежды Александровны на нарушение ее конституционных прав пунктом 2 статьи 2015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Н.А.Буниной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вынесенным в рамках дела о несостоятельности (банкротстве) застройщика и оставленным без изменения постановлениями судов апелляционной и кассационной инстанций, требования гражданки Н.А.Буниной о передаче пяти квартир были признаны обоснованными и включены в реестр требований участников долевого строительства должника; признано обоснованным и включено в четвертую очередь реестра требований кредиторов должника требование Н.А.Буниной, вытекающее из ряда договоров участия в долевом строительстве, в размере 27 700 805 руб.; Н.А.Буниной 2 разъяснено наличие у нее права в рамках отдельного обособленного спора предъявить к некоммерческой организации «Фонд защиты прав граждан – участников долевого строительства Ленинградской области» требование о взыскании компенсации, предусмотренной Постановлением Конституционного Суда Российской Федерации от 21 июля 2022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2 статьи 2015 Федерального закона «О несостоятельности (банкротстве)», в частности, предусматривает, что при установлении размера денежного требования участника строительства учитывается размер убытков в виде реального ущерба, причиненных нарушением обязательства застройщика по передаче жилого помещения, в виде 3 разницы между стоимостью жилого помещения (определенной на дату введения первой процедуры, применяемой в деле о банкротстве к застройщику), которое должно было быть передано участнику строительства, и суммой денежных средств, уплаченных по договору, предусматривающему передачу жилого помещения, и (или) стоимостью переданного застройщику имущества (определенной договором, предусматривающим передачу жилого помещения); в случае, если обязательство по оплате жилого помещения участником строительства исполнено не в полном объеме, размер указанного реального ущерба учитывается в размере, пропорциональном исполненной части обязательства (первый абзац); превышение суммы денежных средств, уплаченных по договору, предусматривающему передачу жилого помещения, и (или) стоимости переданного застройщику имущества над стоимостью жилого помещения (определенной на дату введения первой процедуры, применяемой в деле о банкротстве к застройщику), которое должно было быть передано участнику строительства, не может являться основанием для снижения размера денежных требований участника строительства или повлечь за собой иные негативные последствия для такого участника строительства (второй абзац); стоимость переданного застройщику имущества и стоимость жилого помещения, которое должно было быть передано участнику строительства, определяются оценщиком, привлекаемым конкурсным управляющим за счет застройщика; стоимость жилого помещения рассчитывается исходя из общей площади жилого помещения, подлежащего передаче участнику строительства, и показателя рыночной стоимости одного квадратного метра в соответствующем объекте строительства; соответствующий отчет об оценке направляется конкурсным управляющим участнику строительства и в арбитражный суд; участник строительства вправе при установлении его требования доказывать в порядке, предусмотренном статьей 60 данного Федерального закона, иной размер стоимости переданного застройщику имущества и 4 стоимости жилого помещения, в том числе на основании иного отчета об оценке (третий абзац). Данные законоположения, закрепляющие особенности установления денежных требований участников строительства и рассматриваемые во взаимосвязи с иными нормами Федерального закона «О несостоятельности (банкротстве)», направлены на обеспечение надлежащего учета всех обязательств сторон по договору, предусматривающему передачу жилого помещения, а также баланса имущественных интересов должника, кредиторов, участников строительства и иных лиц, не содержат какой- либо неопределенности, не предполагают произвольного определения размера денежного требования участника строительства и не могут расцениваться как нарушающие конституционные права заявительницы, указанные в жалобе. Установление же и оценка фактических обстоятельств конкретного дела, в том числе в части правильности определения правовой природы и размера денежного требования к должнику,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Буниной Надежды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