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1090-О/2024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«Гранит» на нарушение его конституционных прав пунктом 1 и подпунктом 10 пункта 2 статьи 337, а также пунктом 7 статьи 339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«Гранит»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«Гранит» (далее также – ООО «Гранит», Общество) оспаривает конституционность пункта 1 и подпункта 10 пункта 2 статьи 337 «Добытое полезное ископаемое», а также пункта 7 статьи 339 «Порядок определения количества добытого полезного ископаемого» Налогового кодекса Российской Федерации. Как следует из представленных материалов, вступившими в законную силу актами арбитражных судов отказано в признании недействительным решения налогового органа о привлечении Общества к налоговой 2 ответственности и доначислении ему недоимки по налогу на добычу полезных ископаемых. При этом суды, учитывая проектную документацию по участку недр, исходили из того, что налоговая база по налогу подлежала определению в отношении щебня, являющегося конечным продуктом разработки данного месторождения, а не строительного камня, как полагал заявитель. По мнению ООО «Гранит», оспариваемые законоположения не соответствуют статьям 1, 2, 4, 8, 15, 18, 19 (часть 2), 34, 35, 45, 46 (часть 1), 55 (части 2 и 3), 57, 71 (пункт «з»), 75 (часть 3), 751 и 120 (часть 1) Конституции Российской Федерации, поскольку в силу своей неопределенности позволяют признавать объектом обложения налогом на добычу полезных ископаемых не само добытое полезное ископаемое (строительный камень), а продукт его переработки – щебень.</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Правовое регулирование отношений, связанных с взиманием налога на добычу полезных ископаемых, осуществляется на основании норм главы 26 «Налог на добычу полезных ископаемых» Налогового кодекса Российской Федерации. Объектом обложения налогом на добычу полезных ископаемых, по общему правилу, признаются полезные ископаемые, добытые из недр (извлеченные из отходов, потерь добывающего производства), при этом к видам полезных ископаемых отнесены как щебень, так и камень строительный, если он не предназначен для получения щебня (пункт 1 статьи 336 и подпункт 10 пункта 2 статьи 337 указанного Кодекса). Данные положения действуют с учетом пункта 1 статьи 337, согласно которому полезным ископаемым признается продукция горнодобывающей промышленности и разработки карьеров (если иное не предусмотрено пунктом 3 названной статьи), содержащаяся в фактически добытом (извлеченном) из недр (отходов, потерь) минеральном сырье 3 (породе, жидкости и иной смеси), первая по своему качеству соответствующая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такая продукция признается продукцией обрабатывающей промышленности.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«Гранит»,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