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«Санаторий «Родничок» на нарушение его конституционных прав пунктом 4 статьи 1473 и пунктом 3 статьи 1474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«Санаторий «Родничок»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«Санаторий «Родничок» (далее также – ООО «Санаторий «Родничок») оспаривает конституционность пункта 4 статьи 1473 «Фирменное наименование» и пункта 3 статьи 1474 «Исключительное право на фирменное наименование» ГК Российской Федерации. Из представленных материалов следует, что решением арбитражного суда, оставленным без изменения постановлением суда апелляционной инстанции, заявителю, действовавшему под иным фирменным наименованием, отказано в признании незаконными решения и предписания 2 территориального управления ФАС России, в соответствии с которым оно должно было прекратить нарушение положений Федерального закона от 26 июля 2006 года № 135-ФЗ «О защите конкуренции», а именно изменить фирменное наименование, исключив из него обозначение, и прекратить использование этого обозначения, сходного до степени смешения с фирменным наименованием другого юридического лица, при оказании услуг санаторно-курортного лечения на территории субъекта Российской Федерации. В передаче кассационной жалобы ООО «Санаторий «Родничок» на названные судебные акты и постановление Суда по интеллектуальным правам,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оспариваемые положения противоречат статьям 8 (часть 1) и 34 (часть 1) Конституции Российской Федерации, поскольку по смыслу, придаваемому им правоприменительной практикой, они предоставляют правовую защиту юридическому лицу, использующему в фирменном наименовании наименование географического объекта, и не позволяют другому юридическому лицу использовать фирменное наименование, тождественное фирменному наименованию ранее зарегистрированного юридического лица и также содержащее указание на этот географический объект.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1473 ГК Российской Федерации, закрепляющий отдельные требования к фирменному наименованию юридического лица, обеспечивает защиту интересов участников гражданского оборота, включая потребителей. Пункт 3 статьи 1474 названного Кодекса в системе действующего правового регулирования, в том числе установленного иными нормами той 3 же статьи, направлен на реализацию положений статей 8 (часть 1), 15 (часть 4), 17 (часть 3), 34 (часть 2), 44 (часть 1) и 55 (часть 3) Конституции Российской Федерации во взаимосвязи с пунктом 2 статьи 1 и 10bis Парижской конвенции по охране промышленной собственности (определения Конституционного Суда Российской Федерации от 26 октября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«Санаторий «Родничок»,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