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«ДайТехнолоджи» на нарушение его конституционных прав пунктами 1 и 2 статьи 333, пунктом 1 статьи 525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«ДайТехнолоджи»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«ДайТехнолоджи» (далее также – общество) оспаривает конституционность следующих положений Гражданского кодекса Российской Федерации: пункта 1 статьи 333, предусматривающего, что суд вправе уменьшить неустойку, если подлежащая уплате неустойка явно несоразмерна последствиям нарушения обязательства;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уменьшении; 2 пункта 2 статьи 333, согласно которому 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выгоды; пункта 1 статьи 525 о том, что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нужд, а также заключаемых в соответствии с ним договоров поставки товаров для государственных или муниципальных нужд (пункт 2 статьи 530). Как следует из представленных материалов, постановлением арбитражного апелляционного суда удовлетворены исковые требования акционерного общества к обществу с ограниченной ответственностью «ДайТехнолоджи» (поставщику) о взыскании неустойки по договору поставки, заключенному в целях исполнения государственного контракта. Суд апелляционной инстанции, в частности, не усмотрел возможности на основании ходатайства заявителя применить положения статьи 333 ГК Российской Федерации. По мнению общества, оспариваемые положения не соответствуют статьям 8 и 34 Конституции Российской Федерации в той мере, в какой они по смыслу, придаваемому им правоприменительной практикой, предоставляют суду ничем не ограниченное право решать, что тот или иной коммерческий договор заключен согласно пункту 1 статьи 525 ГК Российской Федерации во исполнение государственного контракта, и в связи с этим не применять пункты 1 и 2 статьи 333 ГК Российской Федерации несмотря на то, что размер неустойки явно приводит к получению покупателем необоснованной выгоды.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333 ГК Российской Федерации, регламентирующие право суда уменьшить размер подлежащей взысканию неустойки, если она явно несоразмерна последствиям нарушения обязательства, согласуются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 (Постановление Конституционного Суда Российской Федерации от 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«ДайТехнолоджи»,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