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1684-О/2024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«ДальМорБункер» на нарушение его конституционных прав статьей 6 Федерального конституционного закона «Об арбитражных судах в Российской Федерации», рядом норм Арбитражного процессуального кодекса Российской Федерации и пунктом 2 статьи 3 Закона Российской Федерации «О статусе судей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«ДальМорБункер»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«ДальМорБункер» (далее также – ООО «ДМБ») оспаривает конституционность статьи 6 «Основные принципы деятельности арбитражных судов в Российской Федерации» Федерального конституционного закона от 28 апреля 1995 года № 1-ФКЗ «Об арбитражных судах в Российской Федерации», пункта 3 статьи 2 «Задачи судопроизводства в арбитражных судах», части 3 статьи 8 2 «Равноправие сторон», части 3 статьи 9 «Состязательность», абзаца второго части 3 статьи 25 «Порядок разрешения заявленного отвода», пункта 5 части 2 статьи 39 «Передача дела, принятого арбитражным судом к своему производству, из одного суда в другой суд» АПК Российской Федерации и пункта 2 статьи 3 «Требования, предъявляемые к судье» Закона Российской Федерации от 26 июня 1992 года № 3132-I «О статусе судей в Российской Федерации». Как следует из представленных материалов, решением арбитражного суда, оставленным без изменения судами вышестоящих инстанций, ООО «ДМБ» отказано в удовлетворении заявления о признании недействительным решения налогового органа.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При этом арбитражными судами различных инстанций было отказано в удовлетворении ходатайств ООО «ДМБ» об отводе судьи (судей). По мнению ООО «ДМБ», оспариваемые законоположения по смыслу, придаваемому им в системе действующего правового регулирования сложившейся правоприменительной практикой, противоречат Конституции Российской Федерации, ее статьям 2, 4 (часть 2), 19 (часть 1), 46 (часть 1), 120 (часть 1) и 123 (часть 3), поскольку допускают возможность произвольной интерпретации арбитражными судами понятия «заинтересованность судьи» и не предусматривают возможности отвода по заявлению стороны дела всех судей, входящих в судебные коллегии по рассмотрению споров, возникающих из административных и иных публичных (налоговых) правоотношений, арбитражных судов первой, апелляционной и кассационной инстанций при наличии признаков их заинтересованности.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Статья 6 Федерального конституционного закона «Об арбитражных судах в Российской Федерации» предусматривает в качестве основных принципов деятельности арбитражных судов законность, независимость судей, равенство организаций и граждан перед законом и судом, состязательность и равноправие сторон, гласность разбирательства дел, а пункт 2 статьи 3 Закона Российской Федерации «О статусе судей в Российской Федерации» закрепляет, что судья при исполнении своих полномочий, а также во внеслужебных отношениях должен избегать всего, что могло бы умалить авторитет судебной власти, достоинство судьи или вызвать сомнение в его объективности, справедливости и беспристрастности. Положения пункта 3 статьи 2, части 3 статьи 8, части 3 статьи 9, абзаца второго части 3 статьи 25 и пункта 5 части 2 статьи 39 АПК Российской Федерации устанавливают в качестве одной из задач судопроизводства в арбитражных судах справедливое публичное судебное разбирательство в разумный срок независимым и беспристрастным судом, предписывают арбитражному суду, сохраняя независимость, объективность и беспристрастность, осуществлять общее руководство процессом с учетом недопустимости для него своими действиями ставить какую-либо из сторон в преимущественное положение, равно как и умалять права одной из сторон, а также закрепляют порядок разрешения отвода, заявленного нескольким судьям или всему рассматривающему дело составу суда, и возможность передачи арбитражным судом дела на рассмотрение другого арбитражного суда того же уровня в случае, если после отвода одного или нескольких судей либо по другим причинам невозможно сформировать состав суда для рассмотрения данного дела. Приведенное правовое регулирование конкретизирует статьи 120 (часть 1), 123 (часть 3) Конституции Российской Федерации и призвано обеспечить возможность реализации права каждого на справедливое 4 судебное разбирательство посредством компетентного, независимого и беспристрастного суда. Таким образом, оспариваемые законоположения, не предполагающие возможности их произвольного применения, не могут расцениваться в качестве нарушающих конституционные права заявителя, в том числе право на судебную защиту, из которого не вытекает возможность выбора заинтересованным лицом по своему усмотрению конкретных форм и способов его реализации, которые с соблюдением требований Конституции Российской Федерации устанавливаются федеральным законом. Оценка же правомерности принятых по делу с участием ООО «ДМБ» судебных актов, в том числе с точки зрения законности составов судов, их принимавших, на что фактически направлены доводы жалобы заявителя,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«ДальМорБункер»,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