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«Светофор» на нарушение его конституционных прав статьями 48 и 77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«Светофор»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оставлено без удовлетворения административное исковое заявление общества с ограниченной ответственностью «Светофор» (далее также – ООО «Светофор») об оспаривании действий судебного пристава-исполнителя по изъятию принадлежащего должнику в исполнительном производстве – гражданину Т. автомобиля, помещенного ранее на принадлежащую административному истцу специализированную стоянку в связи с совершенным гражданином К. административным правонарушением. При этом судом были отклонены доводы заявителя о необходимости осуществления такого изъятия на 2 основании судебного акта в соответствии с предписаниями статьи 77 Федерального закона от 2 октября 2007 года № 229-ФЗ «Об исполнительном производстве» об обращении взыскания на имущество должника, находящееся у третьих лиц, на основании судебного акта или исполнительной надписи нотариуса, а также о лишении его вследствие такого изъятия прибыли, которую он мог бы получить в счет оказанных услуг по хранению транспортного средства. Как отметили суды, административный истец не является третьим лицом по смыслу указанной нормы и правоотношения, возникшие на основании договора оказания услуг по хранению задержанных транспортных средств между уполномоченным государственным органом и ООО «Светофор» в целях пресечения нарушения правил эксплуатации, использования транспортного средства и управления транспортным средством соответствующего вида, не могут препятствовать судебному приставу- исполнителю принимать меры по своевременному, полному и правильному исполнению исполнительных документов. Суды указали также, что обязанность по оплате услуг на основании договора хранения в данном случае лежит, в силу закона, на лице, привлеченном к административной ответственности, которое собственником задержанного транспортного средства и должником в исполнительном производстве не является. Апелляционное определение, отменившее решение суда первой инстанции, было, в свою очередь, отменено кассационным судом общей юрисдикции, оставившим указанное решение суда в силе.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Федерации. В связи с этим ООО «Светофор» оспаривает конституционность статьи 48 Федерального закона «Об исполнительном производстве», содержащей перечень лиц, участвующих в исполнительном производстве, и статьи 77 указанного Федерального закона об особенностях обращения взыскания на имущество должника, находящееся у третьих лиц. Данные законоположения не соответствуют, по его мнению, статьям 2 и 34 Конституции Российской 3 Федерации в связи с отсутствием в них толкования понятия «третьи лица в исполнительном производстве» и объема их прав в отношении спорного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«Светофор»,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