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Красниковой Татьяны Ивановны на нарушение ее конституционных прав абзацами четвертым и пятым пункта 9, абзацем пятым пункта 15 Положения об особенностях порядка исчисления средней заработной платы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Т.И.Красниковой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Т.И.Красникова оспаривает конституционность следующих норм Положения об особенностях порядка исчисления средней заработной платы, утвержденного Постановлением Правительства Российской Федерации от 24 декабря 2007 года № 922 «Об особенностях порядка исчисления средней заработной платы» (далее также – Положение): абзаца четвертого пункта 9, предусматривающего, что средний заработок работника определяется путем умножения среднего дневного заработка на количество дней (календарных, рабочих) в периоде, подлежащем оплате; 2 абзаца пятого пункта 9, закрепляющего, что средний дневной заработок, кроме случаев определения среднего заработка для оплаты отпусков и выплаты компенсаций за неиспользованные отпуска, исчисляется путем деления суммы заработной платы, фактически начисленной за отработанные дни в расчетном периоде, включая премии и вознаграждения, учитываемые в соответствии с пунктом 15 данного Положения, на количество фактически отработанных в этот период дней; абзаца пятого пункта 15, согласно которому в случае, если время, приходящееся на расчетный период, отработано не полностью или из него исключалось время в соответствии с пунктом 5 данного Положения, премии и вознаграждения учитываются при определении среднего заработка пропорционально времени, отработанному в расчетном периоде, за исключением премий, начисленных за фактически отработанное время в расчетном периоде (ежемесячные, ежеквартальные и др.). По мнению заявительницы, оспариваемые положения не соответствуют статьям 17 (часть 3), 19 (часть 2), 37 (части 1–3) и 55 (часть 3) Конституции Российской Федерации в той мере, в какой они по смыслу, придаваемому правоприменительной практикой, позволяют уменьшать размер средней заработной платы, выплачиваемой работнику за период вынужденного прогула, поскольку не предполагают включения в расчет оплаты вынужденного прогула нерабочих праздничных дней, приходящихся на оплачиваемый период, а также учитывать суммы премий пропорционально времени, отработанному в расчетном периоде, несмотря на то, что они и так были начислены работодателем пропорционально отработанному работником времени. Оспариваемые положения применены в деле заявительницы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Постановлении от 13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Красниковой Татьяны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