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Исаревича Дмитрия Семеновича на нарушение его конституционных прав статьями 130, 134 и частью второй статьи 392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Д.С.Исаревича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Д.С.Исаревич оспаривает конституционность следующих положений Трудового кодекса Российской Федерации: статьи 130, а фактически – ее абзаца четвертого, определяющего, что в систему основных государственных гарантий по оплате труда работников включаются меры, обеспечивающие повышение уровня реального содержания заработной платы; статьи 134,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органы местного самоуправления, государственные 2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 части второй статьи 392, в соответствии с которой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Как следует из представленных материалов, заявитель обратился в суд с иском, в котором просил, в частности, взыскать с работодателя задолженность по индексации заработной платы за период с 2010 года по июль 2019 года, поскольку, по его мнению, работодатель неправомерно осуществлял повышение уровня реального содержания заработной платы в спорные периоды, исходя не из индекса потребительских цен на товары и услуги, а из произвольно установленной им величины. Суды общей юрисдикции отказали в удовлетворении заявленных требований, в том числе в связи с пропуском Д.С.Исаревичем годичного срока обращения в суд, закрепленного частью второй статьи 392 Трудового кодекса Российской Федерации. По мнению заявителя, оспариваемые нормы не соответствуют статьям 19 (части 1 и 2), 37 (часть 3), 45 (часть 1), 46 (части 1 и 2), 55 (часть 3), 75 (часть 5) и 751 Конституции Российской Федерации, поскольку статьи 130 и 134 Трудового кодекса Российской Федерации не предусматривают обязанности работодателя проводить индексацию заработной платы работников исходя из индекса потребительских цен на товары и услуги, а часть вторая статьи 392 названного Кодекса с учетом положений пункта 56 постановления Пленума Верхового Суда Российской Федерации от 17 марта 3 2004 года № 2 «О применении судами Российской Федерации Трудового кодекса Российской Федерации» не позволяет признать длящимся нарушением отсутствие индексации заработной платы работника исходя из индекса потребительских цен и препятствует тем самым взысканию указанных сумм за весь период трудовой деятельности у данного работодателя.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Индексация заработной платы направлена на обеспечение повышения уровня реального содержания заработной платы, ее покупательной способности, по своей правовой природе представляет собой государственную гарантию по оплате труда работников (статья 130 Трудового кодекса Российской Федерации) и в силу предписаний статей 2, 130 и 134 Трудового кодекса Российской Федерации должна обеспечиваться всем лицам, работающим по трудовому договору (Определение Конституционного Суда Российской Федерации от 17 июня 2010 года № 913- О-О). Для работодателей, которые не получают бюджетного финансирования, предусмотрено право самостоятельно (в том числе с участием представителей работников) устанавливать порядок индексации заработной платы. Такое правовое регулирование направлено на учет особенностей правового положения таких работодателей и вместе с тем не позволяет им лишить работников предусмотренной законом гарантии и уклониться от установления компенсации, поскольку предполагает определение ее размера, порядка и условий ее предоставления при заключении коллективного договора или трудового договора либо в локальном нормативном акте, принятом с учетом мнения выборного органа первичной профсоюзной организации. Следовательно, оспариваемые нормы не могут рассматриваться как нарушающие конституционные права заявителя. 4 Оспаривая конституционность положений статей 130 и 134 Трудового кодекса Российской Федерации, Д.С.Исаревич выражает несогласие с размером проводимой работодателем индексации. Однако разрешение данного вопроса, равно как и установление обязанности работодателя проводить индексацию заработной платы исходя из индекса потребительских цен на товары и услуги, на чем, как следует из содержания жалобы, настаивает заявитель, связано с внесением изменений в действующее правовое регулирование и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Срок, установленный частью второй статьи 392 Трудового кодекса Российской Федерации применительно к делам о выплате сумм заработной платы и других выплат, причитающихся работнику, в том числе при увольнении, выступая в качестве одного из необходимых правовых условий для достижения оптимального согласования интересов сторон трудовых отношений, не может быть признан неразумным и несоразмерным, поскольку направлен на быстрое и эффективное восстановление нарушенных прав работника, включая право на своевременную оплату труда, и является достаточным для обращения в суд. Своевременность обращения в суд зависит от волеизъявления работника, а срок, пропущенный по уважительным причинам, подлежит восстановлению судом (часть пятая названной статьи). Следовательно, оспариваемое законоположение в системе действующего правового регулирования выступает необходимым элементом механизма, позволяющего работнику обратиться в суд за защитой нарушенного права, а потому также не может расцениваться как нарушающее права заявителя как само по себе, так и с учетом разъяснений, содержащихся в пункте 56 постановления Пленума Верхового Суда Российской Федерации от 17 марта 2004 года № 2 «О применении судами Российской Федерации Трудового кодекса Российской Федерации».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Исаревича Дмитрия Семеновича,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