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Сафронова Сергея Александровича на нарушение его конституционных прав пунктами 2 и 3 статьи 434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С.А.Сафронова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С.А.Сафронов оспаривает конституционность положений статьи 434 ГК Российской Федерации, согласно которым договор в письменной форме может быть заключен путем составления одного документа (в том числе электронного), подписанного сторонами, или обмена письмами, телеграммами, электронными документами либо иными данными в соответствии с правилами абзаца второго пункта 1 статьи 160 данного Кодекса (пункт 2); письменная форма договора считается соблюденной, если письменное предложение заключить договор принято в порядке, предусмотренном пунктом 3 статьи 438 данного Кодекса (пункт 3).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С.А.Сафронова о признании недействительными кредитного договора и договора страхования, применении последствий недействительности сделок, возложении обязанности направить информацию в бюро кредитных историй. Суды, в частности, установили, что заключение кредитного договора, договора страхования и операции по счету произведены в личном кабинете заявителя в системе дистанционного банковского обслуживания с использованием простой электронной подписи, путем введения логина, пароля и кода подтверждения, отправленного банком на его телефон. По мнению заявителя, оспариваемые положения не соответствуют статьям 8, 19 и 35 Конституции Российской Федерации в той мере, в какой они по смыслу, придаваемому им правоприменительной практикой, допускают заключение третьими лицами от имени граждан кредитных договоров в электронной форме (минуя требования статьи 820 ГК Российской Федерации), а также осуществление перевода денежных средств граждан без добровольного их согласия, что причиняет им ущерб.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3 статьи 434 ГК Российской Федерации – с учетом того, что договор может считаться заключенным только при принятии лицом (лицами), которому (которым) адресована оферта, содержащихся в ней условий, – направлены на конкретизацию тех ее условий, при выполнении которых письменная форма сделки при ее совершении способами, отличными от составления документа, выражающего ее содержание и подписанного лицом или лицами, совершающими сделку, считается соблюденной (Определение Конституционного Суда Российской Федерации от 24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Сафронова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