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Маклаковой Марины Витальевны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М.В.Маклаковой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М.В.Маклакова оспаривает конституционность следующих законоположений: статей 1 «Основные начала гражданского законодательства», 12 «Способы защиты гражданских прав» и 13 «Признание недействительным акта государственного органа или органа местного самоуправления» ГК Российской Федерации; статьи 55 «Доказательства», части первой статьи 56 «Обязанность доказывания», статей 84 «Порядок проведения экспертизы», 85 «Обязанности и права эксперта» и 86 «Заключение эксперта», части четвертой статьи 330 «Основания для отмены или изменения решения суда в апелляционном порядке» ГПК Российской Федерации; 2 части 3 статьи 22 «Требования к межевому плану», частей 1, 2 и 5 статьи 40 «Особенности осуществления государственного кадастрового учета и государственной регистрации прав в связи с созданием, реконструкцией, прекращением существования здания, сооружения, объекта незавершенного строительства» Федерального закона от 13 июля 2015 года № 218-ФЗ «О государственной регистрации недвижимости»; частей 1 и 3 статьи 39 «Порядок согласования местоположения границ земельных участков» Федерального закона от 24 июля 2007 года № 221-ФЗ «О кадастровой деятельности». Как следует из представленных материалов, апелляционным определением суда общей юрисдикции, с которым согласились суды кассационной инстанции, определена смежная граница принадлежащих заявительнице и гражданке А. земельных участков исходя из фактического ее местоположения. Суды приняли во внимание выводы землеустроительной экспертизы, согласно которым, помимо прочего, предложенный М.В.Маклаковой вариант расположения данных участков приведет к чересполосице и недопустимому вклиниванию, а также отметили, что границы ее участка не были установлены в соответствии с требованиями земельного законодательства; заявительница, настаивая на определенной конфигурации всего своего участка, с исковыми требованиями к другим смежным землепользователям не обращалась. По мнению М.В.Маклаковой, оспариваемые законоположения противоречат Конституции Российской Федерации, ее статьям 2, 17, 18, 19 (части 1–3), 45, 46 (части 1 и 2), 55 (части 2 и 3), 120 и 123 (часть 3), поскольку они не обеспечивают системного решения ряда вопросов, в том числе об оспаривании в суде результатов межевания земельных участков и распорядительных актов органов местного самоуправления, о допустимости принятия в качестве доказательства рецензии на заключение эксперта, а также позволяют судам цитировать правовые нормы вопреки их действительному содержанию.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Маклаковой Марины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