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«Москапстрой» и садоводческого некоммерческого товарищества «Косино у д. Чулково» на нарушение их конституционных прав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«Москапстрой» и садоводческого некоммерческого товарищества «Косино у д. Чулково»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суда общей юрисдикции, с которым согласились суды вышестоящих инстанций, акционерному обществу «Москапстрой» и садоводческому некоммерческому товариществу «Косино у д. Чулково» отказано в удовлетворении исковых требований, связанных с оспариванием зарегистрированного права, истребованием земельных участков из чужого незаконного владения. Суды в числе прочего исходили из пропуска истцами срока исковой давности, о чем было заявлено ответчиками. 2 Заявители оспаривают конституционность пункта 1 статьи 200 ГК Российской Федерации, закрепляющего, что,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 По мнению заявителей, данное положение с учетом разъяснения, содержащегося в пункте 57 постановления Пленума Верховного Суда Российской Федерации и Пленума Высшего Арбитражного Суда Российской Федерации от 29 апреля 2010 года № 10/22 «О некоторых вопросах, возникающих в судебной практике при разрешении споров, связанных с защитой права собственности и других вещных прав», предполагает в ходе судебного производства по гражданскому делу установление начала течения срока давности не с момента, когда лицо узнало или должно было узнать о нарушении его права, а с момента внесения записи в Единый государственный реестр недвижимости, и не соответствует статьям 19 (часть 1), 34 (часть 1), 35 (части 1 и 2), 36 (части 1 и 2) и 55 Конституции Российской Федерации в той мере, в какой оно по смыслу, придаваемому ему правоприменительной практикой, позволяет произвольно определять момент начала течения срока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пункт 1 статьи 200 ГК Российской Федерации сформулирован таким образом, что наделяет суд необходимыми полномочиями по определению момента начала течения срока исковой давности исходя из фактических обстоятельств дела (Постановление от 4 июля 2022 года № 27- П; определения от 28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«Москапстрой» и садоводческого некоммерческого товарищества «Косино у д. Чулково»,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