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Потейчука Сергея Александровича на нарушение его конституционных прав статьями 132 и 135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С.А.Потейчука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С.А.Потейчук, осужденный за совершение насильственных действий сексуального характера и развратных действий в отношении несовершеннолетних, утверждает, что статьи 132 «Насильственные действия сексуального характера» и 135 «Развратные действия» УК Российской Федерации противоречат статьям 23–25 и 50 Конституции Российской Федерации. По мнению заявителя, оспариваемые нормы позволяют возлагать уголовную ответственность на лицо, не имевшее умысла на совершение преступлений против половой неприкосновенности и половой свободы личности, за действия, внешне сходные с эксгибиционистскими, притом что 2 потерпевшие сами неправомерно наблюдали за этим лицом, заглядывая в окно его жилища.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Потейчука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