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Бученковой Елены Викторовны на нарушение ее конституционных прав положениями статей 1110, 3915 и 3927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Е.В.Бученковой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Е.В.Бученкова оспаривает конституционность следующих положений Земельного кодекса Российской Федерации: подпункта 2 пункта 16 статьи 1110, предусматривающего, что основанием для отказа в утверждении схемы расположения земельного участка является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 2 пункта 6 статьи 3915 о порядке рассмотрения уполномоченным органом нескольких заявлений о предварительном согласовании предоставления земельных участков, местоположение которых на прилагаемых к заявлениям схемах расположения частично или полностью совпадает, и приоритетном рассмотрении в данном случае заявления, поступившего первым; подпункта 4 пункта 7 статьи 3927, закрепляющего, что не могут быть заключено соглашение о перераспределении земель и (или) земельных участков, находящихся в государственной или муниципальной собственности, и принято решение о перераспределении земель и (или) земельных участков, находящихся в государственной или муниципальной собственности, если имеются основания для отказа в утверждении схемы расположения земельного участка, предусмотренные пунктом 16 статьи 1110 этого Кодекса. Как следует из представленных материалов, заявительница и ее супруг обратились в орган местного самоуправления с заявлением об утверждении схемы расположения земельного участка на кадастровой карте территории, образуемого путем перераспределения принадлежащего им участка с увеличением его площади за счет земель, относящихся к публичной собственности, но получили отказ, признанный правомерным решением суда общей юрисдикции, с которым согласились суды вышестоящих инстанций. Согласно выводам судов, на момент подачи указанного обращения в уполномоченном органе уже рассматривалось заявление других граждан с просьбой образовать земельный участок, расположенный в границах тех же земель, для проезда автотранспорта и устранения сложившейся конфликтной ситуации. Данная просьба, будучи первичной, удовлетворена – сформирован и поставлен на кадастровый учет земельный участок с видом разрешенного использования «земельные участки (территории) общего пользования», что и послужило основанием для указанного отказа. По мнению заявительницы, оспариваемые законоположения не соответствуют статьям 9 (часть 2), 19 (часть 1) и 36 (части 1 и 3) Конституции Российской Федерации, поскольку они лишают граждан возможности приобрести в собственность земельный участок в порядке перераспределения и 3 позволяют уполномоченным лицам и органам при рассмотрении вопроса о правовой судьбе земельных участков, относящихся к публичной собственности, произвольно отдавать предпочтение интересам одних граждан в ущерб объективным и заслуживающим внимания интересам других.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Бученковой Елены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