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открытого акционерного общества «Внешнеэкономическое объединение «Технопромэкспорт» на нарушение его конституционных прав положениями Постановления Правительства Российской Федерации «Об утверждении условий выпуска внутреннего государственного валютного облигационного займа»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к рассмотрению открытого акционерного общества «Внешнеэкономическое объединение «Технопромэкспорт»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«Внешнеэкономическое объединение «Технопромэкспорт» (далее также – ОАО «ВО «Технопромэкспорт», Общество) оспаривает конституционность Постановления Правительства Российской Федерации от 15 марта 1993 года № 222 «Об утверждении условий выпуска внутреннего государственного валютного облигационного займа» в части положений, устанавливающих сроки выдачи облигаций внутреннего государственного валютного облигационного займа владельцам валютных счетов во Внешэкономбанке СССР. 2 Как следует из представленных материалов, вступившими в законную силу актами арбитражных судов отказано в удовлетворении требования Общества, которому были открыты валютные счета во Внешэкономбанке СССР, к государственной корпорации развития «ВЭБ.РФ» (далее – ВЭБ.РФ), являющейся правопреемником Внешэкономбанка СССР, и Минфину России, в том числе о признании права на денежные средства, находящиеся на указанных счетах, закрытии счетов и выдаче облигаций внутреннего государственного валютного облигационного займа с их погашением. При этом суды исходили из того, что заявителем не были урегулированы с Минфином России и ВЭБ.РФ обязательства перед бюджетом Российской Федерации, а также, кроме прочего, истек срок исковой давности по требованию о выдаче облигаций. По мнению ОАО «ВО «Технопромэкспорт», оспариваемые положения не соответствуют статьям 8 (часть 2), 19 (часть 1), 35 (части 1 и 3), 55 (часть 3) и 75 (часть 4) Конституции Российской Федерации, поскольку ставят погашение валютного долга бывшего СССР перед российскими юридическими лицами под условие произвольных действий Минфина России и ВЭБ.РФ по урегулированию задолженности таких лиц перед бюджетом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открытого акционерного общества «Внешнеэкономическое объединение «Технопромэкспорт»,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