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«Транснефть-Приволга» на нарушение его конституционных прав пунктом 1 части 1 статьи 38 Водного кодекса Российской Федерации и частью 4 статьи 51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акционерного общества «Транснефть-Приволга»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«Транснефть-Приволга» (далее также – АО «Транснефть-Приволга») оспаривает конституционность пункта 1 части 1 статьи 38 «Виды водопользования» Водного кодекса Российской Федерации, а также части 4 статьи 51 «Разрешение на строительство» Градостроительного кодекса Российской Федерации. Как следует из представленных материалов, решением арбитражного суда, оставленным без изменения судами апелляционной и кассационной инстанций, по заявлению ООО «Р.г.» признаны недействительными решения 2 о предоставлении в пользование водного объекта, принятые в интересах АО «Транснефть-Приволга», в целях строительства гидротехнического сооружения. По мнению заявителя, пункт 1 части 1 статьи 38 Водного кодекса Российской Федерации не соответствует статьям 17 (часть 3) и 36 (часть 2)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предоставляет одному лицу, осуществляющему коммерческую деятельность, приоритетное и неограниченное право использовать водный объект, предоставленный ему в совместное пользование с другим лицом, которому такое право предоставлено в целях строительства объекта, обеспечивающего безопасность опасных производственных объектов. Также, по мнению заявителя, часть 4 статьи 51 Градостроительного кодекса Российской Федерации противоречит статьям 12, 71 и 132 Конституции Российской Федерации в той мере, в какой она порождает неопределенность в вопросе о разграничении полномочий органов власти при выдаче разрешения на строительство гидротехнического сооружения III класса, расположенного одновременно на земельном участке и в акватории водного объекта, что влечет невозможность ввести в эксплуатацию объект, строительство которого необходимо для обеспечения безопасности опасных производственных объектов.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«Транснефть-Приволга»,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