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Дургалян Юлии Васильевны на нарушение ее конституционных прав взаимосвязанными положениями пункта 1 статьи 222 Гражданского кодекса Российской Федерации, пункта 6 части четвертой статьи 392 Гражданского процессуального кодекса Российской Федерации и подпунктов «а», «д»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Ю.В.Дургалян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Ю.В.Дургалян оспаривает конституционность взаимосвязанных положений пункта 1 статьи 222 «Самовольная постройка» ГК Российской Федерации, пункта 6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а также подпунктов «а» и «д» пункта 10 Правил 2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(утверждены Постановлением Правительства Российской Федерации от 24 февраля 2009 года № 160). Определением суда апелляционной инстанции, с которым согласился кассационный суд общей юрисдикции, оставлено без удовлетворения заявление Ю.В.Дургалян о пересмотре по новым обстоятельствам апелляционного определения, которым удовлетворен иск к заявительнице о признании построек самовольными и об их сносе. В обоснование заявления Ю.В.Дургалян указывала на вступление в силу новой редакции пункта 10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однако суды признали данное обстоятельство не влекущим необходимости нового рассмотрения дела, поскольку спорные постройки и с учетом вступившего в силу правового регулирования возведены с нарушением минимальных расстояний до проводов воздушных линий электропередачи. Определением судьи Верховного Суда Российской Федерации отказано в передаче кассационной жалобы Ю.В.Дургалян для рассмотрения в судебном заседании суда кассационной инстанции. По мнению заявительницы, оспариваемые положения не соответствуют статьям 19 (части 1 и 2), 40 и 55 (часть 3) Конституции Российской Федерации в той мере, в какой они позволяют отказывать в пересмотре по новым обстоятельствам вступившего в законную силу и не исполненного судебного постановления о сносе построек, возведенных в нарушение особых условий использования земельного участка, расположенного в границах охранной зоны объекта электросетевого хозяйства, без дополнительного исследования того, соответствуют ли спорные постройки новым условиям использования таких земельных 3 участков и создаются ли ими препятствия для доступа к объектам электросетевого хозяйства.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 части четвертой статьи 392 ГПК Российской Федерации, относящий к новым обстоятельствам, влекущим пересмотр вступившего в законную силу судебного постановления, установление или изменение федеральным законом оснований для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постройки, не исключает необходимости учета судом того, имеет ли данное обстоятельство существенное значение для правильного разрешения дела.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Дургалян Юлии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