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435-П/1994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«Управляющая компания «Партнер» на нарушение его конституционных прав подпунктами «в» и «в1» пункта 21 Правил,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и пунктом 1 постановления Правительства Москвы «О внесении изменения в постановление Правительства Москвы от 11 января 1994 года № 41»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общества с ограниченной ответственностью «Управляющая компания «Партнер»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«Партнер» (далее по тексту мотивировочной части – ООО «УК «Партнер») оспаривает конституционность следующих положений: подпунктов «в» и «в1» пункта 21 Правил, обязательных при заключении управляющей организацией или товариществом собственников 2 жилья либо жилищным кооперативом или иным специализированным потребительским кооперативом договоров с ресурсоснабжающими организациями (утверждены Постановлением Правительства Российской Федерации от 14 февраля 2012 года № 124), устанавливающих формулы для определения объема коммунального ресурса. Кроме того, заявитель просит признать противоречащим Конституции Российской Федерации пункт 1 постановления Правительства Москвы от 14 июля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деле с участием заявителя подпункта «в1» пункта 21 Правил,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а потому его жалоба в данной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«Управляющая компания «Партнер»,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