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2007-О/2023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«Чусовой – Лес» на нарушение его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общества с ограниченной ответственностью «Чусовой – Лес»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«Чусовой – Лес» оспаривает конституционность следующих законоположений: пункта 1 статьи 621 «Преимущественное право арендатора на заключение договора аренды на новый срок» ГК Российской Федерации; части 2 статьи 72 «Договор аренды лесного участка, находящегося в государственной или муниципальной собственности», частей 1 и 3 статьи 731 «Заключение договора аренды лесного участка, находящегося в государственной или муниципальной собственности» и статьи 74 «Заключение договора аренды лесного участка, находящегося в государственной или муниципальной собственности, на новый срок без проведения торгов» Лесного кодекса Российской Федерации; 2 части 2 статьи 69 «Основания освобождения от доказывания» АПК Российской Федерации; части 5 статьи 4 Федерального закона от 4 декабря 2006 года № 201-ФЗ «О введении в действие Лесного кодекса Российской Федерации» о порядке заключения определенных видов договоров аренды участка лесного фонда. Как следует из представленных материалов, вступившим в законную силу решением арбитражного суда удовлетворен иск прокурора, поданный в интересах субъекта Российской Федерации, о признании недействительным (ничтожным) договора аренды лесного участка для заготовки древесины, заключенного с заявителем как арендатором. Последующим решением того же суда, с которым согласились суды вышестоящих инстанций, заявителю отказано в признании преимущественного права на заключение договора аренды лесного участка на новый срок (без проведения торгов). По мнению заявителя, оспариваемые законоположения не соответствуют Конституции Российской Федерации, ее статьям 1 (часть 1), 2, 4, 6, 15 (части 1 и 2), 17 (часть 3), 18, 19 (части 1 и 2), 34, 35, 45, 46 (части 1 и 2), 49, 50, 51, 54, 55, 64, 120 (часть 1) и 123 (часть 3), поскольку они по смыслу, придаваемому правоприменительной практикой, в том числе лишают арендатора участка лесного фонда права на заключение договора аренды на новый срок без проведения торгов, допускают их ретроактивное применение судами, позволяют последним произвольно использовать предшествовавшие судебные акты, которые не устанавливают обстоятельств, имеющих преюдициальное значение.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3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Указанный годичный срок (пропуск которого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«Чусовой – Лес», поскольку она не отвечает 4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