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3179-О/2023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«Лукойл-Коми» на нарушение его конституционных прав пунктом 6 приложения № 3 к Особенностям возмещения вреда, причиненного лесам и находящимся в них природным объектам вследствие нарушения лесного законодательства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«Лукойл-Коми»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«Лукойл-Коми» (далее – общество) оспаривает конституционность пункта 6 приложения № 3 к Особенностям возмещения вреда, причиненного лесам и находящимся в них природным объектам вследствие нарушения лесного законодательства, утвержденным Постановлением Правительства Российской Федерации от 29 декабря 2018 года № 1730. Эта норма предусматривает таксы для исчисления размера вреда, причиненного лесам вследствие нарушения лесного законодательства, в частности в виде самовольного снятия, уничтожения или 2 порчи почв, в размере четырехкратной наибольшей ставки платы за единицу объема древесины основной лесообразующей породы в субъекте Российской Федерации (за каждый квадратный метр снятой, уничтоженной или испорченной почвы), а согласно сноске к указанному пункту применяется наибольшее значение ставки платы за единицу объема древесины лесных насаждений (основные породы) в соответствии с Постановлением Правительства Российской Федерации от 22 мая 2007 года № 310 «О ставках платы за единицу объема лесных ресурсов и ставках платы за единицу площади лесного участка, находящегося в федеральной собственности». Как следует из представленных материалов, решением арбитражного суда, оставленным в силе определением Судебной коллегии по экономическим спорам Верховного Суда Российской Федерации, с общества взыскан ущерб, причиненный лесному фонду. Отменяя решения арбитражных судов апелляционной и кассационной инстанций, Судебная коллегия на основании буквального толкования оспариваемой обществом нормы указала, что для определения размера причиненного вреда следует учитывать наибольшую ставку платы за единицу объема древесины лесных насаждений основной лесообразующей породы в субъекте Российской Федерации, а не в лесотаксовом районе, в котором совершено соответствующее нарушение. По мнению общества, оспариваемая норма противоречит статьям 19 (часть 1), 34 (часть 1), 35 (части 1, 2 и 3), 46 (часть 1) и 55 (часть 3) Конституции Российской Федерации, поскольку содержит неопределенность и позволяет привлекать к имущественной ответственности с применением несоразмерной конкретному лесонарушению санкции в виде наибольшей ставки из всех наибольших ставок, установленных для всех лесотаксовых районов конкретного субъекта Российской Федерации (в том числе районов, на территории которых не совершалось лесонарушение и не производится восстановление природных объектов), что нарушает конституционные принципы равенства, правовой определенности, справедливости, соразмерности и индивидуализации ответственности. На взгляд общества, 3 для более точного расчета причиненного лесам ущерба необходимо определять лесообразующую породу в районе, где произошло лесонарушение.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Лесной кодекс Российской Федерации (статья 100) и Федеральный закон от 10 января 2002 года № 7-ФЗ «Об охране окружающей среды» (статьи 77 и 78) предусматривают, что вред окружающей среде возмещается в соответствии с утвержденными в установленном порядке таксами и методиками исчисления его размера. Таксы и методики исчисления размера вреда, причиненного лесам вследствие нарушения лесного законодательства, утверждаются Правительством Российской Федерации (часть 4 статьи 100 Лесного кодекса Российской Федерации). Как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«Лукойл-Коми»,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