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унитарного муниципального предприятия «Спецавтохозяйство г. Томска» на нарушение его конституционных прав пунктом 9 Правил разработки, утверждения и корректировки производственных программ в области обращения с твердыми коммунальными отходами, а также осуществления контроля за их реализацией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унитарного муниципального предприятия «Спецавтохозяйство г. Томска»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Унитарное муниципальное предприятие «Спецавтохозяйство г. Томска» (далее также – УМП «Спецавтохозяйство г. Томска») оспаривает конституционность пункта 9 Правил разработки, утверждения и корректировки производственных программ в области обращения с твердыми коммунальными отходами, а также осуществления контроля за их реализацией (далее – Правила; утверждены Постановлением Правительства Российской Федерации от 16 мая 2016 года № 424), согласно которому уполномоченный орган в течение 20 рабочих дней со дня получения проекта производственной программы проверяет ее на соответствие требованиям 2 раздела II этих Правил; в случае несоответствия проекта производственной программы указанным требованиям уполномоченный орган направляет регулируемой организации уведомление об отказе в утверждении проекта производственной программы с описанием выявленных несоответствий и приложением проекта производственной программы.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административного искового заявления УМП «Спецавтохозяйство г. Томска» – организации, осуществляющей деятельность в области обращения с твердыми коммунальными отходами, о признании недействующим правового акта, утвердившего данному предприятию производственную программу и тарифы на захоронение твердых коммунальных отходов. При этом было отмечено, что представленный заявителем для утверждения проект производственной программы соответствовал предусмотренным Правилами требованиям к содержанию производственной программы, а потому основания для направления УМП «Спецавтохозяйство г. Томска» уведомления об отказе в утверждении проекта производственной программы с описанием выявленных несоответствий отсутствовали. По мнению заявителя, оспариваемое положение не соответствует Конституции Российской Федерации, в частности ее статьям 8, 18, 19, 34, 35 и 55, поскольку лишает организацию – регионального оператора по обращению с твердыми коммунальными отходами права приводить возражения относительно содержания подлежащей утверждению уполномоченным органом производственной программы и, следовательно, допускает установление экономически необоснованного тарифа в области обращения с твердыми коммунальными отходами.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унитарного муниципального предприятия «Спецавтохозяйство г. Томска»,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