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3559-О/2023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Жуня Артема Викторовича на нарушение его конституционных прав частями 2 и 5 статьи 1 Закона Орловской области «Об установлении на 2016–2018 годы налоговых ставок для отдельных категорий налогоплательщиков, применяющих упрощенную систему налогообложения»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А.В.Жуня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А.В.Жунь оспаривает конституционность частей 2 и 5 статьи 1 Закона Орловской области от 5 сентября 2015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Налоговым кодексом Российской Федерации, согласно абзацам первому и второму пункта 7 его статьи 12, устанавливаются специальные налоговые режимы и порядок их введения в действие. Такие режимы могут предусматривать освобождение от обязанности по уплате отдельных федеральных, региональных и местных налогов и сборов, в силу чего предполагают возможность установления ограничений для перехода на них налогоплательщиков, а также особых правил их применения. При этом законодательные (представительные) органы государственной власти субъектов Российской Федерации в случаях, порядке и пределах, которые предусмотрены Налоговым кодексом Российской 3 Федерации, вправе определять по специальным налоговым режимам в том числе налоговые ставки в зависимости от категорий налогоплательщиков и видов предпринимательской деятельности (абзацы третий и шестой пункта 7 статьи 12 названного Кодекса). Так, согласно пункту 2 статьи 34620 указанного Кодекса, регламентирующей ставки налога, уплачиваемого при применении упрощенной системы налогообложения, если объектом налогообложения являются доходы, уменьшенные на величину расходов, по общему правилу налоговая ставка составляет 15 процентов, однако законами субъектов Российской Федерации могут быть установлены налоговые ставки в пределах от 5 до 15 процентов в зависимости от категорий налогоплательщиков. Реализуя указанные полномочия в сфере налогообложения, Орловский областной Совет народных депутатов принял Закон Орловской области «Об установлении на 2016–2018 годы налоговых ставок для отдельных категорий налогоплательщиков, применяющих упрощенную систему налогообложения». Данный Закон Орловской области в части 2 статьи 1 определил условия применения пониженных налоговых ставок, указанных в частях 1 и 11 этой же статьи, и предусмотрел, что в случае несоблюдения хотя бы одного из этих условий налогоплательщик утрачивает право на применение пониженных ставок с начала налогового периода (часть 5 статьи 1).</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Жуня Артема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