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Харченко Николая Иосифовича на нарушение его конституционных прав положениями статей 11 и 206 Гражданского процессуального кодекса Российской Федерации, ряда федеральных законов и Законом Саратовской области «О мерах социальной поддержки отдельных категорий граждан в Саратовской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Н.И.Харченко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Н.И.Харченко оспаривает конституционность: Федерального закона от 25 ноября 2006 года № 195-ФЗ «О внесении изменений в статью 62 Федерального закона «О государственной социальной помощи»; Закона Саратовской области от 26 декабря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Харченко Николая Иосифовича,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