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Нечепуренко Алексея Валерьевича на нарушение его конституционных прав частью 2 статьи 1 и частью 4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А.В.Нечепуренко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А.В.Нечепуренко оспаривает конституционность следующих положений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части 2 статьи 1, а фактически – ее пункта 3, предусматривающего, что членами семьи сотрудника органа внутренних дел Российской Федерации и 2 гражданина Российской Федерации, уволенного со службы в органах внутренних дел, и лицами, находящимися (находившимися) на их иждивении, на которых распространяется действие данного Федерального закона, если иное не установлено его отдельными положениями, считаются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части 4 статьи 4 о предоставлении единовременной социальной выплаты для приобретения или строительства жилого помещения сотруднику с учетом совместно проживающих с ним членов его семьи. Как следует из представленных материалов, решением суда общей юрисдикции, с которым согласились суды вышестоящих инстанций, признано правомерным решение уполномоченного органа о снятии сына А.В.Нечепуренко, как достигшего 23 лет, с учета на получение единовременной социальной выплаты для приобретения или строительства жилого помещения. Суды в том числе отметили, что данный гражданин является трудоспособным, на иждивении у отца не находится. По мнению заявителя, оспариваемые законоположения противоречат Конституции Российской Федерации, ее статьям 2, 7, 18, 19 (части 1 и 2), 38, 40 (части 1 и 3) и 55 (части 2 и 3), в той мере, в какой позволяют снимать с жилищного учета детей сотрудника в связи с достижением детьми соответствующего возраста, влекут необоснованную дифференциацию в жилищных правах схожих категорий граждан, поскольку круг членов семей военнослужащих и лиц, уволенных с военной службы, определяется в целях предоставления им жилого помещения в натуре по иным правилам (положения статьи 15 Федерального закона от 27 мая 1998 года № 76-ФЗ «О статусе военнослужащих») и не зависит от возраста их детей.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соответствии с целями социального государства, каковым является Россия, Конституция Российской Федерации устанавливает гарантии социальной защиты (статья 7), а также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Вместе с тем она не определяет способы и объемы социальной защиты, а также условия предоставления жилищных гарантий для тех или иных категорий граждан. Разрешение данных вопросов, в том числе определение конкретных гарантий и круга лиц, на которых они распространяются, является прерогативой законодателя.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Нечепуренко Алексея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