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Жарика Александра Михайловича на нарушение его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А.М.Жарика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А.М.Жарик оспаривает конституционность части третьей статьи 3907 ГПК Российской Федерации, согласно которой</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41 данного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При этом – учитывая, что из конституционного права на судебную защиту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 оспариваемое законоположение в равной степени наделяет соответствующим полномочием как Председателя Верховного Суда Российской Федерации, так 4 и его заместителя. Письмо же судьи Верховного Суда Российской Федерации, содержащее информацию о том, что ранее поданные А.М.Жариком кассационные жалобы были рассмотрены в соответствии с требованиями процессуального законодательства, не свидетельствует, вопреки доводам заявителя, о рассмотрении данным судьей его кассационной жалобы, адресованной Председателю этого суда. Таким образом, часть третья статьи 3907 ГПК Российской Федерации не может расцениваться в качестве нарушающей конституционные права А.М.Жарика в указанном в жалобе аспекте. Оценка же правильности разрешения вопросов о возможности рассмотрения в Верховном Суде Российской Федерации кассационных жалоб заявителя либо о наличии оснований для их возвращения, равно как и разрешение вопросов, не связанных с проверкой конституционности нормативного акта,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Жарика Александра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