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«Интер-Энерго-Траст» на нарушение его конституционных прав пунктами 1 и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«Интер-Энерго-Траст»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общества, были признаны недействительными отдельные условия договора, заключенного между должником и обществом с ограниченной ответственностью «Интер-Энерго- Траст» (далее также – ООО «Интер-Энерго-Траст»), применены последствия недействительности сделки. При этом суды исходили, в частности, из доказанности совершения сделки на спорных условиях с целью причинения вреда имущественным правам кредиторов должника. С этим судебным актом согласились суды апелляционной и кассационной инстанций. 2 ООО «Интер-Энерго-Траст» оспаривает конституционность пунктов 1 и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19, 34 (часть 1), 35 (часть 2) и 55 (часть 3) Конституции Российской Федерации в той мере, в какой они по смыслу, придаваемому им сложившейся правоприменительной практикой, допускают произвольную квалификацию договора, заключенного должником в период, предшествующий введению процедуры банкротства, как направленного на причинение имущественного вреда правам кредиторов.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«Интер-Энерго-Траст»,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