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обращения Министерства дорожного хозяйства и транспорта Челябинской области о проверке конституционности частей 3 и 4 статьи 45 Лесного кодекса Российской Федерации, пункта 101 статьи 1 Градостроительного кодекса Российской Федерации, а также пункта 16 статьи 3 и частей 3 и 7 статьи 26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обращения Министерства дорожного хозяйства и транспорта Челябинской области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Министерство дорожного хозяйства и транспорта Челябинской области оспаривает конституционность следующих законоположений: частей 3 и 4 статьи 45 «Использование лесов для строительства, реконструкции, эксплуатации линейных объектов» Лесного кодекса Российской Федерации; 2 пункта 101 статьи 1 «Основные понятия, используемые в настоящем Кодексе» Градостроительного кодекса Российской Федерации; пункта 16 статьи 3 «Основные понятия, используемые в настоящем Федеральном законе» и частей 3 и 7 статьи 26 «Придорожные полосы автомобильных дорог» Федерального закона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 Как следует из представленных материалов, с Министерства дорожного хозяйства и транспорта Челябинской области по иску гражданина в судебном порядке было взыскано возмещение материального ущерба, причиненного в результате наезда принадлежащего этому гражданину автомобиля на деревья, упавшие на автомобильную дорогу, которая является собственностью Челябинской области и закреплена за заявителем на праве оперативного управления (апелляционное определение судебной коллегии по гражданским делам Челябинского областного суда от 13 апреля 2023 года, с которым согласились вышестоящие суды). При этом судами было установлено, что дерево, падение которого повлекло причинение ущерба, произрастало в пределах полосы отвода указанной дороги, где Министерство дорожного хозяйства и транспорта Челябинской области было обязано обеспечить безопасность дорожного движения и содержание участка автомобильной дороги. В связи с этим заявитель просит признать оспариваемые законоположения не соответствующими статье 36 (части 2 и 3) Конституции Российской Федерации, поскольку они позволяют возлагать на владельца автомобильной дороги обязанность нести расходы на содержание не принадлежащей ему смежной с такой дорогой придорожной полосы.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данного обращения к рассмотрению. 3 В соответствии с частью первой статьи 96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обращения Министерства дорожного хозяйства и транспорта Челябинской области, поскольку оно исходит от ненадлежащего органа.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обращению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