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Алексеевой Натальи Леонидовны на нарушение ее конституционных прав статьями 10 и 168 Гражданского кодекса Российской Федерации, а также статьями 612 и 21311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Н.Л.Алексеевой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банкротстве гражданина З. и оставленным без изменения судами апелляционной и кассационной инстанций, было удовлетворено заявление финансового управляющего должника о признании недействительным договора купли-продажи автомобиля, заключенного должником с гражданкой Н.Л.Алексеевой, и о применении последствий недействительности сделки. При этом суды исходили, в частности, из того, что при совершении сделки сторонами допущено злоупотребление правом, договор заключен в период 2 процедуры реструктуризации долгов гражданина в отсутствие согласия залогодержателя и финансового управляющего по заниженной цене. Н.Л.Алексеева оспаривает конституционность статей 10 и 168 ГК Российской Федерации, а также статей 612 и 21311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статьям 46 (часть 1) и 47 (часть 1) Конституции Российской Федерации, поскольку содержат неопределенность в вопросе о возможности в рамках дела о банкротстве оспаривать сделки одновременно и по основаниям, предусмотренным Федеральным законом «О несостоятельности (банкротстве)», и по общим основаниям, установленным Гражданским кодексом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Алексеевой Натальи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