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1234-О/2024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Тихоненко Федора Борисовича на нарушение его конституционных прав положениями Гражданского кодекса Российской Федерации и абзацем восьмым статьи 222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гражданина Ф.Б.Тихоненко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Ф.Б.Тихоненко оспаривает конституционность статьи 202 «Приостановление течения срока исковой давности» ГК Российской Федерации во взаимосвязи со статьей 204 «Течение срока исковой давности при защите нарушенного права в судебном порядке» того же Кодекса и абзацем восьмым статьи 222 «Основания для оставления заявления без рассмотрения» ГПК Российской Федерации. Решением суда общей юрисдикции, оставленным без изменения судами вышестоящих инстанций, удовлетворено заявление прокурора о взыскании с Ф.Б.Тихоненко ущерба, причиненного преступлением. Отклоняя 2 заявление ответчика о применении исковой давности, суд указал, что срок исковой давности прокурором не пропущен, в частности, поскольку течение этого срока приостанавливалось на период нахождения в производстве суда ранее поданного прокурором заявления, оставленного без рассмотрения в связи с неявкой прокурора в суд по вторичному вызову (абзац восьмой статьи 222 ГПК Российской Федерации). Определением судьи Верховного Суда Российской Федерации, с которым согласился заместитель Председателя того же суда, отказано в передаче кассационной жалобы Ф.Б.Тихоненко для рассмотрения в судебном заседании суда кассационной инстанции. По мнению заявителя, статья 202 ГК Российской Федерации во взаимосвязи со статьей 204 данного Кодекса и абзацем восьмым статьи 222 ГПК Российской Федерации не соответствуют статьям 2, 15 (части 1 и 2), 19 (часть 1), 45, 46 (часть 1) и 55 (часть 3) Конституции Российской Федерации, поскольку они предполагают, что течение срока исковой давности приостанавливается на период нахождения в производстве суда заявления, оставленного без рассмотрения в связи с неявкой в суд по вторичному вызову истца, не просившего о разбирательстве дела в его отсутствие. Ф.Б.Тихоненко также просит проверить конституционность истолкования в судебных постановлениях по его конкретному делу названных норм в системной связи со статьями 196 «Общий срок исковой давности», 199 «Применение исковой давности» и 200 «Начало течения срока исковой давности» ГК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Тихоненко Федора Борисовича,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