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2535-О/2024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«Тишина» на нарушение его конституционных прав положениями пункта 1 статьи 394 Налогового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«Тишина»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«Тишина» (далее также – ООО «Тишина») оспаривает конституционность положений пункта 1 статьи 394 Налогового кодекса Российской Федерации, в соответствии с которыми, в частности, налоговые ставки земельного налога не могут превышать 0,3 процента в отношении земельных участков, занятых жилищным фондом и (или) объектами инженерной инфраструктуры жилищно-коммунального комплекса (за исключением части земельного участка, приходящейся на объект недвижимого имущества, не относящийся к жилищному фонду и (или) к объектам инженерной инфраструктуры жилищно-коммунального комплекса) 2 или приобретенных (предоставленных) для жилищного строительства (за исключением земельных участков, приобретенных (предоставленных) для индивидуального жилищного строительства, используемых в предпринимательской деятельности). Как следует из представленных материалов, вступившими в законную силу актами арбитражных судов ООО «Тишина» в том числе отказано в удовлетворении требования о признании недействительными решений налогового органа в части выявления недоимки по земельному налогу за 2020 год. При этом суды с учетом фактических обстоятельств дела пришли к выводу, что заявитель, являющийся коммерческой организацией, осуществляющей деятельность в сфере жилищного строительства, в указанном налоговом периоде не имел права на применение пониженной ставки земельного налога в отношении принадлежащих ему земельных участков, используемых им в предпринимательской деятельности. По мнению ООО «Тишина», положения пункта 1 статьи 394 Налогового кодекса Российской Федерации противоречат статьям 1, 19 и 57 Конституции Российской Федерации, поскольку позволяют произвольно лишать коммерческую организацию права на применение пониженной налоговой ставки земельного налога без оценки факта использования ею земельных участков в предпринимательской деятельности.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«Тишина»,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