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1220-О/2024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Благодерова Владимира Юрьевича на нарушение его конституционных прав статьями 112 и 331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В.Ю.Благодерова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мирового судьи возвращено заявление гражданина В.Ю.Благодерова об отмене судебного приказа о взыскании с него денежных сумм в связи с неуважительностью причин пропуска срока на его подачу. Частная жалоба заявителя на это определение была также возвращена мировым судьей как не подпадающая под действие статьи 331 указанного Кодекса, с чем согласился судья районного суда. Кассационная жалоба заявителя на судебный приказ и названные судебные постановления была оставлена без удовлетворения определением судьи кассационного суда общей юрисдикции. В связи с этим В.Ю.Благодеров просит признать противоречащими Конституции Российской Федерации, в том числе ее статье 46, статьи 112 2 «Восстановление процессуальных сроков» и 331 «Обжалование определений суда первой инстанции» ГПК Российской Федерации, поскольку они не позволяют должнику обжаловать отказ в восстановлении пропущенного процессуального срока на подачу возражений относительно исполнения судебного приказа.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Благодерова Владимира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