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Айсаевой Любови Васильевны на нарушение ее конституционных прав положениями статьи 2292 Трудового кодекса Российской Федерации и статьи 3 Федерального закона «Об обязательном социальном страховании от несчастных случаев на производстве и профессиональных заболеваний»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Л.В.Айсаевой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Л.В.Айсаева оспаривает конституционность частей шестой и седьмой статьи 2292 «Порядок проведения расследования несчастных случаев» Трудового кодекса Российской Федерации, а также абзаца девятого статьи 3 «Основные понятия, используемые в настоящем Федеральном законе»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заболеваний». 2 По мнению заявительницы, оспариваемые нормы вступают в противоречие со статьями 7, 37 (часть 3), 39 (части 1 и 2) и 45 (часть 1) Конституции Российской Федерации в той мере, в какой, не устанавливая презумпцию квалификации несчастного случая на производстве и профессионального заболевания в качестве страхового случая, возлагают на застрахованное лицо, а в случае его смерти – на членов его семьи бремя доказывания соответствующих обстоятельств и исключают возможность истолкования сомнений в пользу этих лиц, чем препятствуют реализации конституционных гарантий возмещения вреда, причиненного при исполнении трудовых обязанностей.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Айсаевой Любови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