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статьями 74, 75, 38913, пунктом 8 части второй статьи 38917, частью четвертой статьи 38928 и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осужденный приговором суда (отмененным судом кассационной инстанции ввиду декриминализации содеянного), просит признать противоречащими статьям 19 (часть 1), 46 (часть 1), 49 (части 1 и 3), 50 (часть 2) и 123 (часть 3) Конституции Российской Федерации взаимосвязанные положения статей 74 «Доказательства», 75 «Недопустимые доказательства», 38913 «Порядок рассмотрения уголовного дела судом апелляционной инстанции», пункта 8 части второй статьи 38917 «Существенные нарушения уголовно- процессуального закона», части четвертой статьи 38928 «Апелляционные 2 приговор, определение и постановление» и части первой статьи 40115 «Основания отмены или изменения судебного решения при рассмотрении уголовного дела в кассационном порядке» УПК Российской Федерации в той мере, в какой они в силу содержащейся в них неопределенности: позволяют суду апелляционной инстанции при проверке предполагаемого факта нарушения нижестоящим судом тайны совещательной комнаты использовать письменные объяснения судьи и секретаря в качестве допустимых и достаточных доказательств, опровергающих соответствующие доводы стороны защиты, подтвержденные информацией с официального сайта суда первой инстанции и подлинником вступившего в законную силу судебного акта; предоставляют судам апелляционной и кассационной инстанций право отдавать предпочтение результатам служебной проверки, проведенной судьей, объективность и беспристрастность которого уже поставлена под сомнение фактом предполагаемого нарушения, а не сведениям и документам, представленным стороной защиты; предполагают право судов апелляционной и кассационной инстанций опровергать факт наличия двух различных вариантов вступивших в законную силу судебных решений, принятых судом первой инстанции по одному и тому же вопросу и в одно и то же время, письменными объяснениями секретаря, а также судьи, объективность и беспристрастность которого подвергнута сомнению.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