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«Евро-Элас Т.С.» на нарушение его конституционных прав пунктом 12 части 1 статьи 95 Федерального закона «О контрактной системе в сфере закупок товаров, работ, услуг для обеспечения государственных и муниципальных нужд»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«Евро-Элас Т.С.»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«Евро-Элас Т.С.» оспаривает конституционность пункта 12 части 1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силу которого, в частности, по соглашению сторон допускается изменение существенных условий контракта при его исполнении, если по предложению заказчика увеличиваются предусмотренные контрактом (за исключением указанных в данном пункте контрактов) количество товара, объем работы или услуги не более чем на десять процентов; при этом по соглашению сторон допускается изменение с 2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Как следует из представленных материалов, решением арбитражного суда, с которым согласились суды вышестоящих инстанций, отказано в удовлетворении иска названного общества о взыскании с заказчика (бюджетного учреждения) суммы разницы в связи с увеличением суммы контракта на десять процентов от согласованной цены контракта. В обоснование иска было указано, что фактический объем оказанных услуг превысил договорный более чем на десять процентов. По мнению общества, оспариваемая норма противоречит статье 8 (часть 2) Конституции Российской Федерации, а также ряду статей Гражданского кодекса Российской Федерации, поскольку наделяет государственного и муниципального заказчика правом на одностороннее увеличение предусмотренного контрактом объема работ или услуг, не возлагая на него обязанность по соответствующей оплате. Кроме того, общество просит отменить судебные акты, принятые по его делу.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Сам по себе пункт 12 части 1 статьи 95 Федерального закона «О контрактной системе в сфере закупок товаров, работ, услуг для обеспечения государственных и муниципальных нужд», отражая особенности исполнения и изменения гражданско-правовых договоров, заключенных в целях обеспечения государственных и муниципальных нужд путем закупок товаров, работ и услуг, направлен – исходя из особенностей регулируемых отношений – на эффективное использование средств бюджетов и внебюджетных источников финансирования и на предотвращение злоупотреблений в этой сфере, на то, чтобы физические и юридические лица 3 участвовали в закупках товаров, работ и услуг в условиях добросовестной конкуренции. Данное законоположение не может расцениваться как нарушающее в указанном в жалобе аспекте конституционные права общества, в деле которого арбитражные суды пришли к выводу о недоказанности наличия соглашения сторон об изменении цены контракта, а также указали, что общество имело право отказаться от исполнения контракта в объеме, не предусмотренном контрактом. При этом суды исходили из того, что выполнение работ или оказание услуг в целях удовлетворения государственных или муниципальных нужд в отсутствие государственного или муниципального контракта не порождает у исполнителя право требовать оплаты соответствующего предоставления. Иной подход допускал бы поставку товаров, выполнение работ и оказание услуг для государственных или муниципальных нужд в обход норм Федерального закона «О контрактной системе в сфере закупок товаров, работ, услуг для обеспечения государственных и муниципальных нужд». Исследование же фактических обстоятельств, имеющих значение для разрешения дела, в частности установление того, было ли достигнуто соглашение об изменении контракта, равно как и решение иных поставленных в жалобе вопросов, к полномочиям Конституционного Суда Российской Федерации, предусмотренным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«Евро-Элас Т.С.», поскольку она не 4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