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Филатовой Людмилы Ивановны на нарушение ее конституционных прав пунктом 27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Л.И.Филатовой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Л.И.Филатова оспаривает конституционность пункта 27 статьи 3 Федерального закона от 25 октября 2001 года № 137-ФЗ «О введении в действие Земельного кодекса Российской Федерации» о праве членов некоммерческих организаций приобрести садовый или огородный земельный участок, находящийся в государственной или муниципальной собственности и отвечающий соответствующим требованиям, бесплатно в собственность, а в ряде случаев – в аренду (в отношении участков, зарезервированных для государственных или муниципальных нужд, либо ограниченных в обороте). 2 Как следует из представленных материалов, решением суда общей юрисдикции, вступившим в законную силу, признано правомерным решение общего собрания членов садоводческого товарищества, которым заявительница была исключена из числа членов этого товарищества в связи с нарушением обязанности по уплате членских взносов. Впоследствии апелляционным определением суда общей юрисдикции, с которым согласились суды кассационной инстанции, удовлетворены исковые требования данного товарищества о возложении на Л.И.Филатову обязанности освободить земельный участок, расположенный в границах территории садоводства. Суды пришли к выводам, что на этом участке, предоставленном истцу в составе земельного массива в постоянное (бессрочное) пользование, отсутствуют какие-либо объекты недвижимости, принадлежащие ответчице, которая ранее обращалась за его предоставлением в собственность, но не выполнила требования, изложенного в постановлении органа местного самоуправления, о проведении в течение двух лет работ по межеванию образуемого земельного участка и постановке его на кадастровый учет. По мнению заявительницы, оспариваемое законоположение противоречит статьям 19 (части 1 и 2), 30 (часть 2) и 55 (часть 3) Конституции Российской Федерации, поскольку оно допускает изъятие садовых участков у лиц, исключенных из числа членов садоводческого товарищества, лишает их права на приватизацию данных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иметь имущество, включая землю, в частной собственности (статья 35, часть 2; статья 36, часть 1), вместе с тем не устанавливает условий реализации данного права, они определяются федеральным законодателем (статья 36, часть 3), который в ходе проведения земельной реформы предусмотрел в Земельном кодексе Российской Федерации в числе основных принципов 3 земельного законодательства принцип платности использования земли, реализуемый в формах земельного налога, аренды и иных платежей (подпункт 7 пункта 1 статьи 1, статья 65 и др.) и подразумевающий, помимо прочего, существенное сокращение сферы применения права постоянного (бессрочного) пользования земельными участками (определения Конституционного Суда Российской Федерации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Филатовой Людмилы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