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«ЕвроТул Тверь» на нарушение его конституционных прав абзацем вторым пункта 1, подпунктами 7 и 10 пункта 2 статьи 1051, статьями 122 и 123, пунктом 18 части второй статьи 250 Налогового кодекса Российской Федерации, а также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«ЕвроТул Тверь»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«ЕвроТул Тверь» (далее – ООО «ЕвроТул Тверь») оспаривает конституционность абзаца второго пункта 1, подпунктов 7 и 10 пункта 2 статьи 1051 «Взаимозависимые лица», статей 122 «Неуплата или неполная уплата сумм налога (сбора, страховых взносов)» и 123 «Невыполнение налоговым агентом обязанности по удержанию и (или) перечислению налогов», пункта 18 части второй статьи 250 «Внереализационные доходы» Налогового кодекса Российской Федерации, а 2 также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вступившими в законную силу актами арбитражных судов ООО «ЕвроТул Тверь» отказано в признании недействительным решения налогового органа о привлечении к ответственности за совершение налогового правонарушения. При этом суды пришли к выводу, что заявителем получена необоснованная налоговая выгода по сделкам с рядом контрагентов. Определением судьи Верховного Суда Российской Федерации кассационная жалоба возвращена заявителю в связи с отказом в удовлетворении ходатайства о восстановлении пропущенного срока для ее подачи. По мнению ООО «ЕвроТул Тверь», оспариваемые законоположения противоречат статьям 8, 17, 19 (части 1 и 2), 34, 35, 46 (части 1 и 2), 55 (часть 3), 57, 118 (часть 1) и 123 (часть 3) Конституции Российской Федерации, поскольку позволяют произвольно квалифицировать действия налогоплательщика, признавать его и контрагентов взаимозависимыми лицами, неправильно истолковывать и применять положения налогового законодательства, а также допускают реализацию Председателем Верховного Суда Российской Федерации, его заместителем полномочий, предусмотренных частью 8 статьи 2916 АПК Российской Федерации, по истечении двухмесячного срока со дня вступления в законную силу последнего обжалуемого судебного акта.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«ЕвроТул Тверь»,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