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Хабековой Мариям Улдаровны на нарушение ее конституционных прав частями 3 и 5 статьи 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М.У.Хабековой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М.У.Хабекова (индивидуальный предприниматель) оспаривает конституционность следующих положений статьи 1 Федерального закона от 13 июля 2015 года № 218-ФЗ «О государственной регистрации недвижимости»: части 3, согласно которой государственная регистрация прав на недвижимое имущество – это юридический акт признания и подтверждения возникновения, изменения, перехода, прекращения права определенного лица на недвижимое имущество или ограничения такого права и обременения недвижимого имущества; части 5 о том, что государственная регистрация права в Едином государственном реестре недвижимости является единственным 2 доказательством существования зарегистрированного права; зарегистрированное в Едином государственном реестре недвижимости право на недвижимое имущество может быть оспорено только в судебном порядке. Решением арбитражного суда, с которым согласились суды вышестоящих инстанций, отказано в удовлетворении встречных требований М.У.Хабековой к региональному отделению общественной организации и другим лицам о признании незаконным отказа в реализации права преимущественного выкупа нежилого помещения, о признании незаконным решения об одностороннем отказе от договора субаренды и о признании преимущественного права на выкуп спорного помещения согласно Федеральному закону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Суды, в частности, исходили из того, что спорное помещение не относится к государственной или муниципальной собственности, а принадлежит на праве собственности некоммерческой организации (Всероссийской творческой общественной организации «Союз художников России»). По мнению заявительницы, оспариваемые положения не соответствуют статьям 15 (часть 2), 19, 34, 45 (часть 2) и 46 (части 1 и 2) Конституции Российской Федерации в той мере, в какой они по смыслу, придаваемому им правоприменительной практикой, допускают неопределенность в вопросе о регистрации права собственности без правоустанавливающих документов и о признании такой регистрации основополагающим доказательством. Кроме того, заявительница просит отменить принятые по ее делу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неоднократно указывал Конституционный Суд Российской Федерации, государственная регистрация прав на недвижимость способствует упрочению и стабильности гражданского оборота в целом (постановления от 4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Хабековой Мариям Улдаровны,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