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Лупенских Кирилла Анатольевича на нарушение его конституционных прав статьей 7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К.А.Лупенских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К.А.Лупенских оспаривает конституционность статьи 7 Федерального закона от 29 декабря 2004 года № 189-ФЗ «О введении в действие Жилищного кодекса Российской Федерации», согласно которой: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переданы в ведение органов местного самоуправления, 2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 (часть 1);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не были переданы в ведение органов местного самоуправления в результате изменения формы собственности или ликвидации указанных предприятий или учреждений, если эти жилые помещения предоставлены гражданам на законных основаниях до даты изменения формы собственности или ликвидации указанных предприятий или учреждений, применяются нормы главы 35 Гражданского кодекса Российской Федерации о договоре найма (за рядом исключений); к отношениям по пользованию жилыми помещениями, указанными в данной части, также применяются нормы части 2 статьи 60, частей 2 и 3 статьи 83, части 1 статьи 154, частей 1–5, 91–13 статьи 156, статей 157 и 159 Жилищного кодекса Российской Федерации (часть 2). Как следует из представленных материалов, определением суда апелляционной инстанции (оставлено без изменения судом кассационной инстанции), вынесенным при новом рассмотрении дела, отменено решение суда общей юрисдикции, исковое требование К.А.Лупенских о признании права пользования жилым помещением на условиях договора социального найма оставлено без удовлетворения. Суды указали, что по договору найма от 18 сентября 2018 года заявителю была предоставлена комната, находящаяся в общежитии, принадлежащем хозяйственному обществу; комната предоставлялась в связи с наличием между заявителем и обществом трудовых отношений на время работы истца; после прекращения с работодателем трудовых отношений 9 января 2019 года использование комнаты не могло осуществляться на прежних условиях; 3 смена собственника жилого помещения 25 марта 2020 года при переходе здания в муниципальную собственность в силу статьи 675 ГК Российской Федерации не повлекла для заявителя прекращения договора найма, в связи с чем он использует жилое помещение на основании найма жилого помещения, а не по договору социального найма.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Конституции Российской Федерации, ее статьям 19 (части 1 и 2), 40 (часть 1) и 55 (части 2 и 3), поскольку оно по смыслу, придаваемому ему правоприменительной практикой, допускает отказ в признании права пользования жилым помещением по договору социального найма исходя из даты вселения в такое помещение.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 Конституции Российской Федерации закрепляет право каждого на жилище (часть 1) и социальные гарантии в жилищной сфере для малоимущих и иных указанных в законе граждан, нуждающихся в жилье (часть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Лупенских Кирилла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