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Швеца Александра Геннадьевича на нарушение его конституционных прав частью первой статьи 38920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А.Г.Швеца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кассационной жалобы гражданина А.Г.Швеца на вынесенный в его отношении обвинительный приговор и последующие судебные решения; при этом отвергнуты доводы жалобы о том, что суд апелляционной инстанции неправомерно отменил приговор в части решения по гражданскому иску и направил дело в этой части на новое рассмотрение в порядке гражданского судопроизводства. 2 В этой связи А.Г.Швец утверждает, что часть первая статьи 38920 «Решения, принимаемые судом апелляционной инстанции» УПК Российской Федерации противоречит статьям 7 (части 1 и 2), 17, (часть 1), 18, 19 (части 1 и 2), 21 (часть 1), 46 (часть 1), 47 (часть 1), 56 (часть 3) и 123 (часть 3) Конституции Российской Федерации, поскольку позволяет судам апелляционной инстанции при принятии решения об изменении приговора передавать дело в части гражданского иска на новое рассмотрение в тот же суд в порядке гражданского судопроизводства в нарушение конституционных принципов, ограничивая права участников уголовного судопроизводства, в частности право на рассмотрение дела в том суде и тем судьей, которым оно подсудно.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38920 УПК Российской Федерации в результате рассмотрения уголовного дела в апелляционном порядке суд принимает одно из решений, в частности, об отмене обвинительного приговора и о вынесении оправдательного приговора (пункт 2), об отмене обвинительного приговора и о вынесении обвинительного приговора (пункт 3), об отмене приговора, определения, постановления суда первой инстанции и о передаче уголовного дела на новое судебное разбирательство в суд первой инстанции со стадии подготовки к судебному заседанию или судебного разбирательства (пункт 4), об отмене приговора, определения, постановления и о прекращении уголовного дела (пункт 8), об изменении приговора или иного обжалуемого судебного решения (пункт 9). Разрешение вопроса о том, какое решение должно быть принято судом апелляционной инстанции по итогам проведенного судебного разбирательства: об отмене оспариваемого судебного акта, его изменении или иное (статьи 38920–38926 УПК Российской Федерации), – будучи напрямую отнесенным к компетенции судов общей юрисдикции, осуществляется в каждом конкретном случае с учетом наличия закрепленных 3 в главе 451 УПК Российской Федерации к тому оснований и характера допущенных нарушений, в том числе их неустранимости (определения Конституционного Суда Российской Федерации от 26 мая 2016 года № 1103- О,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Швеца Александра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