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«ТЕХНИКО ЭКСПЛУАТАЦИОННАЯ КОМПАНИЯ» на нарушение его конституционных прав статьями 49, 259, 260, 261 и 263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«ТЕХНИКО ЭКСПЛУАТАЦИОННАЯ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«ТЕХНИКО ЭКСПЛУАТАЦИОННАЯ КОМПАНИЯ» (далее также – ООО «ТЭК») оспаривает конституционность статей 49 «Изменение основания или предмета иска, изменение размера исковых требований, отказ от иска, признание иска, мировое соглашение», 259 «Срок подачи апелляционной жалобы», 260 «Форма и содержание апелляционной жалобы», 261 «Принятие апелляционной жалобы к производству арбитражного суда» и 263 2 «Оставление апелляционной жалобы без движения» АПК Российской Федерации. Как следует из представленных материалов, определением арбитражного апелляционного суда по результатам рассмотрения апелляционной жалобы ООО «ТЭК» оставлено без изменения определение арбитражного суда первой инстанции, которым удовлетворено заявление конкурсного управляющего юридического лица – банкрота о признании недействительными соглашений, заключенных между этим юридическим лицом и ООО «ТЭК», и применении последствий их недействительности. По мнению заявителя, оспариваемые законоположения по смыслу, придаваемому им в системе действующего правового регулирования правоприменительной практикой, противоречат Конституции Российской Федерации, ее статьям 2, 15, 17, 18, 45–47, 55 и 120, поскольку позволяют арбитражному суду апелляционной инстанции принять к рассмотрению апелляционную жалобу без указаний в ней оснований, по которым обжалуется судебный акт, и без приложения доказательств ее направления другим лицам, участвующим в деле, и документа об уплате государственной пошлины, а после принятия такой апелляционной жалобы – отказать в принятии мотивированной апелляционной жалобы с изложенными основаниями, по которым обжалуется судебный акт. Кроме того, ООО «ТЭК» просит признать неконституционными процессуальные действия арбитражного апелляционного суда по принятию (отказу в принятии) поданных им апелляционных жалоб.</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3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ООО «ТЭК» не представлены документы, которые бы подтверждали исчерпание им внутригосударственных средств судебной защиты. В частности, не представлены результаты рассмотрения спора с участием заявителя в кассационном порядке. Что касается проверки конституционности процессуальных действий арбитражного суда, то она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«ТЕХНИКО ЭКСПЛУАТАЦИОННАЯ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